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1B" w:rsidRDefault="00C33C1B" w:rsidP="00C33C1B">
      <w:pPr>
        <w:jc w:val="center"/>
      </w:pPr>
      <w:bookmarkStart w:id="0" w:name="_GoBack"/>
      <w:bookmarkEnd w:id="0"/>
      <w:r>
        <w:rPr>
          <w:b/>
          <w:bCs/>
          <w:noProof/>
          <w:sz w:val="28"/>
          <w:szCs w:val="28"/>
        </w:rPr>
        <w:drawing>
          <wp:inline distT="0" distB="0" distL="0" distR="0" wp14:anchorId="585B14ED" wp14:editId="393EBE09">
            <wp:extent cx="1066800" cy="876300"/>
            <wp:effectExtent l="0" t="0" r="0" b="0"/>
            <wp:docPr id="1" name="Immagine 1" descr="UPI_complet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_completo_picc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973" cy="883014"/>
                    </a:xfrm>
                    <a:prstGeom prst="rect">
                      <a:avLst/>
                    </a:prstGeom>
                    <a:noFill/>
                    <a:ln>
                      <a:noFill/>
                    </a:ln>
                  </pic:spPr>
                </pic:pic>
              </a:graphicData>
            </a:graphic>
          </wp:inline>
        </w:drawing>
      </w:r>
    </w:p>
    <w:p w:rsidR="00C33C1B" w:rsidRDefault="00C33C1B" w:rsidP="00C33C1B">
      <w:pPr>
        <w:spacing w:after="0" w:line="240" w:lineRule="auto"/>
        <w:jc w:val="center"/>
        <w:rPr>
          <w:rFonts w:ascii="Bookman Old Style" w:hAnsi="Bookman Old Style"/>
          <w:sz w:val="24"/>
          <w:szCs w:val="24"/>
        </w:rPr>
      </w:pPr>
    </w:p>
    <w:p w:rsidR="00C33C1B" w:rsidRPr="00487999" w:rsidRDefault="00C33C1B" w:rsidP="00C33C1B">
      <w:pPr>
        <w:spacing w:after="0" w:line="240" w:lineRule="auto"/>
        <w:jc w:val="center"/>
        <w:rPr>
          <w:rFonts w:ascii="Bookman Old Style" w:hAnsi="Bookman Old Style"/>
          <w:sz w:val="24"/>
          <w:szCs w:val="24"/>
        </w:rPr>
      </w:pPr>
    </w:p>
    <w:p w:rsidR="00C33C1B" w:rsidRDefault="00C33C1B" w:rsidP="00C33C1B">
      <w:pPr>
        <w:spacing w:after="0" w:line="240" w:lineRule="auto"/>
        <w:jc w:val="center"/>
        <w:rPr>
          <w:rFonts w:ascii="Bookman Old Style" w:hAnsi="Bookman Old Style"/>
          <w:b/>
          <w:sz w:val="24"/>
          <w:szCs w:val="24"/>
        </w:rPr>
      </w:pPr>
    </w:p>
    <w:p w:rsidR="00C33C1B" w:rsidRDefault="00C33C1B" w:rsidP="00C33C1B">
      <w:pPr>
        <w:spacing w:after="0" w:line="240" w:lineRule="auto"/>
        <w:jc w:val="center"/>
        <w:rPr>
          <w:rFonts w:ascii="Bookman Old Style" w:hAnsi="Bookman Old Style"/>
          <w:b/>
          <w:sz w:val="24"/>
          <w:szCs w:val="24"/>
        </w:rPr>
      </w:pPr>
    </w:p>
    <w:p w:rsidR="00C33C1B" w:rsidRDefault="00C33C1B" w:rsidP="00C33C1B">
      <w:pPr>
        <w:spacing w:after="0" w:line="240" w:lineRule="auto"/>
        <w:jc w:val="center"/>
        <w:rPr>
          <w:rFonts w:ascii="Bookman Old Style" w:hAnsi="Bookman Old Style"/>
          <w:b/>
          <w:sz w:val="24"/>
          <w:szCs w:val="24"/>
        </w:rPr>
      </w:pPr>
    </w:p>
    <w:p w:rsidR="00C33C1B" w:rsidRDefault="00C33C1B" w:rsidP="00C33C1B">
      <w:pPr>
        <w:spacing w:after="0" w:line="240" w:lineRule="auto"/>
        <w:jc w:val="center"/>
        <w:rPr>
          <w:rFonts w:ascii="Bookman Old Style" w:hAnsi="Bookman Old Style"/>
          <w:b/>
          <w:sz w:val="24"/>
          <w:szCs w:val="24"/>
        </w:rPr>
      </w:pPr>
    </w:p>
    <w:p w:rsidR="00C33C1B" w:rsidRDefault="00C33C1B" w:rsidP="00C33C1B">
      <w:pPr>
        <w:spacing w:after="0" w:line="240" w:lineRule="auto"/>
        <w:jc w:val="center"/>
        <w:rPr>
          <w:rFonts w:ascii="Bookman Old Style" w:hAnsi="Bookman Old Style"/>
          <w:b/>
          <w:sz w:val="24"/>
          <w:szCs w:val="24"/>
        </w:rPr>
      </w:pPr>
    </w:p>
    <w:p w:rsidR="00C33C1B" w:rsidRDefault="00C33C1B" w:rsidP="00C33C1B">
      <w:pPr>
        <w:spacing w:after="0" w:line="240" w:lineRule="auto"/>
        <w:jc w:val="center"/>
        <w:rPr>
          <w:rFonts w:ascii="Bookman Old Style" w:hAnsi="Bookman Old Style"/>
          <w:b/>
          <w:sz w:val="24"/>
          <w:szCs w:val="24"/>
        </w:rPr>
      </w:pPr>
    </w:p>
    <w:p w:rsidR="00C33C1B" w:rsidRDefault="00C33C1B" w:rsidP="00C33C1B">
      <w:pPr>
        <w:spacing w:after="0" w:line="240" w:lineRule="auto"/>
        <w:jc w:val="center"/>
        <w:rPr>
          <w:rFonts w:ascii="Bookman Old Style" w:hAnsi="Bookman Old Style"/>
          <w:b/>
          <w:sz w:val="24"/>
          <w:szCs w:val="24"/>
        </w:rPr>
      </w:pPr>
    </w:p>
    <w:p w:rsidR="00C33C1B" w:rsidRDefault="00C33C1B" w:rsidP="00C33C1B">
      <w:pPr>
        <w:spacing w:after="0" w:line="240" w:lineRule="auto"/>
        <w:jc w:val="center"/>
        <w:rPr>
          <w:rFonts w:ascii="Bookman Old Style" w:hAnsi="Bookman Old Style"/>
          <w:b/>
          <w:sz w:val="24"/>
          <w:szCs w:val="24"/>
        </w:rPr>
      </w:pPr>
    </w:p>
    <w:p w:rsidR="00C33C1B" w:rsidRPr="00487999" w:rsidRDefault="00C33C1B" w:rsidP="00C33C1B">
      <w:pPr>
        <w:spacing w:after="0" w:line="240" w:lineRule="auto"/>
        <w:jc w:val="center"/>
        <w:rPr>
          <w:rFonts w:ascii="Bookman Old Style" w:hAnsi="Bookman Old Style"/>
          <w:b/>
          <w:sz w:val="24"/>
          <w:szCs w:val="24"/>
        </w:rPr>
      </w:pPr>
    </w:p>
    <w:p w:rsidR="00C33C1B" w:rsidRPr="00487999" w:rsidRDefault="00C33C1B" w:rsidP="00C33C1B">
      <w:pPr>
        <w:spacing w:after="0" w:line="240" w:lineRule="auto"/>
        <w:jc w:val="center"/>
        <w:rPr>
          <w:rFonts w:ascii="Bookman Old Style" w:hAnsi="Bookman Old Style"/>
          <w:b/>
          <w:sz w:val="24"/>
          <w:szCs w:val="24"/>
        </w:rPr>
      </w:pPr>
    </w:p>
    <w:p w:rsidR="00C33C1B" w:rsidRPr="00746FB3" w:rsidRDefault="00C33C1B" w:rsidP="00C33C1B">
      <w:pPr>
        <w:jc w:val="both"/>
        <w:rPr>
          <w:rFonts w:ascii="Bookman Old Style" w:hAnsi="Bookman Old Style"/>
          <w:b/>
          <w:sz w:val="24"/>
          <w:szCs w:val="24"/>
        </w:rPr>
      </w:pPr>
      <w:r w:rsidRPr="00746FB3">
        <w:rPr>
          <w:rFonts w:ascii="Bookman Old Style" w:hAnsi="Bookman Old Style"/>
          <w:b/>
          <w:sz w:val="24"/>
          <w:szCs w:val="24"/>
        </w:rPr>
        <w:t>SCHEMA DI DECRETO DEL MINISTERO DELL'ISTRUZIONE, DELL'UNIVERSITÀ E DELLA RICERCA, CONCERNENTE IL RIPARTO DELLE RISORSE DI CUI ALL'ARTICOLO 25 DEL DECRETO-LEGGE 24 APRILE 2017, N. 50, RELATIVO AD INTERVENTI DI EDILIZIA SCOLASTICA</w:t>
      </w:r>
    </w:p>
    <w:p w:rsidR="00C33C1B" w:rsidRPr="00487999" w:rsidRDefault="00C33C1B" w:rsidP="00C33C1B">
      <w:pPr>
        <w:spacing w:after="0" w:line="240" w:lineRule="auto"/>
        <w:jc w:val="center"/>
        <w:rPr>
          <w:rFonts w:ascii="Bookman Old Style" w:hAnsi="Bookman Old Style"/>
          <w:b/>
          <w:sz w:val="24"/>
          <w:szCs w:val="24"/>
        </w:rPr>
      </w:pPr>
    </w:p>
    <w:p w:rsidR="00C33C1B" w:rsidRDefault="00C33C1B" w:rsidP="00C33C1B"/>
    <w:p w:rsidR="00C33C1B" w:rsidRDefault="00C33C1B" w:rsidP="00C33C1B"/>
    <w:p w:rsidR="00C33C1B" w:rsidRDefault="00C33C1B" w:rsidP="00C33C1B">
      <w:pPr>
        <w:spacing w:after="0" w:line="240" w:lineRule="auto"/>
        <w:jc w:val="center"/>
        <w:rPr>
          <w:rFonts w:ascii="Bookman Old Style" w:hAnsi="Bookman Old Style"/>
          <w:b/>
          <w:sz w:val="24"/>
          <w:szCs w:val="24"/>
        </w:rPr>
      </w:pPr>
      <w:r>
        <w:rPr>
          <w:rFonts w:ascii="Bookman Old Style" w:hAnsi="Bookman Old Style"/>
          <w:b/>
          <w:sz w:val="24"/>
          <w:szCs w:val="24"/>
        </w:rPr>
        <w:t>OSSERVAZIONI E PROPOSTE</w:t>
      </w:r>
    </w:p>
    <w:p w:rsidR="00C33C1B" w:rsidRDefault="00C33C1B" w:rsidP="00C33C1B"/>
    <w:p w:rsidR="00C33C1B" w:rsidRDefault="00C33C1B" w:rsidP="00C33C1B"/>
    <w:p w:rsidR="00C33C1B" w:rsidRDefault="00C33C1B" w:rsidP="00C33C1B"/>
    <w:p w:rsidR="00C33C1B" w:rsidRDefault="00C33C1B" w:rsidP="00C33C1B"/>
    <w:p w:rsidR="00C33C1B" w:rsidRDefault="00C33C1B" w:rsidP="00C33C1B"/>
    <w:p w:rsidR="00C33C1B" w:rsidRDefault="00C33C1B" w:rsidP="00C33C1B"/>
    <w:p w:rsidR="00C33C1B" w:rsidRDefault="00C33C1B" w:rsidP="00C33C1B"/>
    <w:p w:rsidR="00C33C1B" w:rsidRDefault="00C33C1B" w:rsidP="00C33C1B"/>
    <w:p w:rsidR="00C33C1B" w:rsidRPr="008E4AEB" w:rsidRDefault="00C33C1B" w:rsidP="00C33C1B">
      <w:pPr>
        <w:jc w:val="center"/>
        <w:rPr>
          <w:rFonts w:ascii="Bookman Old Style" w:hAnsi="Bookman Old Style"/>
        </w:rPr>
      </w:pPr>
      <w:r w:rsidRPr="008E4AEB">
        <w:rPr>
          <w:rFonts w:ascii="Bookman Old Style" w:hAnsi="Bookman Old Style"/>
        </w:rPr>
        <w:t xml:space="preserve">Roma, </w:t>
      </w:r>
      <w:r w:rsidR="00CB54F0">
        <w:rPr>
          <w:rFonts w:ascii="Bookman Old Style" w:hAnsi="Bookman Old Style"/>
        </w:rPr>
        <w:t>31</w:t>
      </w:r>
      <w:r w:rsidRPr="008E4AEB">
        <w:rPr>
          <w:rFonts w:ascii="Bookman Old Style" w:hAnsi="Bookman Old Style"/>
        </w:rPr>
        <w:t xml:space="preserve"> luglio 2017</w:t>
      </w:r>
    </w:p>
    <w:p w:rsidR="00C33C1B" w:rsidRDefault="00C33C1B" w:rsidP="00BE3571">
      <w:pPr>
        <w:jc w:val="both"/>
        <w:rPr>
          <w:rFonts w:ascii="Bookman Old Style" w:hAnsi="Bookman Old Style"/>
          <w:b/>
          <w:sz w:val="24"/>
          <w:szCs w:val="24"/>
        </w:rPr>
      </w:pPr>
    </w:p>
    <w:p w:rsidR="00C33C1B" w:rsidRDefault="00C33C1B" w:rsidP="00BE3571">
      <w:pPr>
        <w:jc w:val="both"/>
        <w:rPr>
          <w:rFonts w:ascii="Bookman Old Style" w:hAnsi="Bookman Old Style"/>
          <w:b/>
          <w:sz w:val="24"/>
          <w:szCs w:val="24"/>
        </w:rPr>
      </w:pPr>
    </w:p>
    <w:p w:rsidR="00BE3571" w:rsidRPr="00414681" w:rsidRDefault="00BE3571" w:rsidP="00BE3571">
      <w:pPr>
        <w:jc w:val="center"/>
        <w:rPr>
          <w:b/>
        </w:rPr>
      </w:pPr>
    </w:p>
    <w:p w:rsidR="00404063" w:rsidRPr="003A46BF" w:rsidRDefault="00404063" w:rsidP="005C59DF">
      <w:pPr>
        <w:jc w:val="both"/>
        <w:rPr>
          <w:rFonts w:ascii="Bookman Old Style" w:hAnsi="Bookman Old Style"/>
          <w:b/>
          <w:sz w:val="24"/>
          <w:szCs w:val="24"/>
        </w:rPr>
      </w:pPr>
      <w:r w:rsidRPr="003A46BF">
        <w:rPr>
          <w:rFonts w:ascii="Bookman Old Style" w:hAnsi="Bookman Old Style"/>
          <w:b/>
          <w:sz w:val="24"/>
          <w:szCs w:val="24"/>
        </w:rPr>
        <w:lastRenderedPageBreak/>
        <w:t>PREMESSE</w:t>
      </w:r>
      <w:r w:rsidR="003066E6" w:rsidRPr="003A46BF">
        <w:rPr>
          <w:rFonts w:ascii="Bookman Old Style" w:hAnsi="Bookman Old Style"/>
          <w:b/>
          <w:sz w:val="24"/>
          <w:szCs w:val="24"/>
        </w:rPr>
        <w:t xml:space="preserve"> E </w:t>
      </w:r>
      <w:r w:rsidR="00EC0E60" w:rsidRPr="003A46BF">
        <w:rPr>
          <w:rFonts w:ascii="Bookman Old Style" w:hAnsi="Bookman Old Style"/>
          <w:b/>
          <w:sz w:val="24"/>
          <w:szCs w:val="24"/>
        </w:rPr>
        <w:t xml:space="preserve">CRITERI </w:t>
      </w:r>
      <w:r w:rsidR="00667F59" w:rsidRPr="003A46BF">
        <w:rPr>
          <w:rFonts w:ascii="Bookman Old Style" w:hAnsi="Bookman Old Style"/>
          <w:b/>
          <w:sz w:val="24"/>
          <w:szCs w:val="24"/>
        </w:rPr>
        <w:t>UTILIZZATI PER IL RIPARTO DELLE RISORSE</w:t>
      </w:r>
    </w:p>
    <w:p w:rsidR="00D21669" w:rsidRPr="003A46BF" w:rsidRDefault="00D21669" w:rsidP="005C59DF">
      <w:pPr>
        <w:jc w:val="both"/>
        <w:rPr>
          <w:rFonts w:ascii="Bookman Old Style" w:hAnsi="Bookman Old Style"/>
          <w:sz w:val="24"/>
          <w:szCs w:val="24"/>
        </w:rPr>
      </w:pPr>
      <w:r w:rsidRPr="003A46BF">
        <w:rPr>
          <w:rFonts w:ascii="Bookman Old Style" w:hAnsi="Bookman Old Style"/>
          <w:sz w:val="24"/>
          <w:szCs w:val="24"/>
        </w:rPr>
        <w:t>Lo schema di decreto in oggetto è finalizzato al riparto della somma complessiva di 321.100.000,00 euro per le annualità 2017, 2018, 2019, 2020, destinate a Province e Città Metropolitane per il finan</w:t>
      </w:r>
      <w:r w:rsidR="003A46BF" w:rsidRPr="003A46BF">
        <w:rPr>
          <w:rFonts w:ascii="Bookman Old Style" w:hAnsi="Bookman Old Style"/>
          <w:sz w:val="24"/>
          <w:szCs w:val="24"/>
        </w:rPr>
        <w:t>z</w:t>
      </w:r>
      <w:r w:rsidRPr="003A46BF">
        <w:rPr>
          <w:rFonts w:ascii="Bookman Old Style" w:hAnsi="Bookman Old Style"/>
          <w:sz w:val="24"/>
          <w:szCs w:val="24"/>
        </w:rPr>
        <w:t>iamento degli interventi in materia di edilizia scola</w:t>
      </w:r>
      <w:r w:rsidR="003A46BF" w:rsidRPr="003A46BF">
        <w:rPr>
          <w:rFonts w:ascii="Bookman Old Style" w:hAnsi="Bookman Old Style"/>
          <w:sz w:val="24"/>
          <w:szCs w:val="24"/>
        </w:rPr>
        <w:t>s</w:t>
      </w:r>
      <w:r w:rsidRPr="003A46BF">
        <w:rPr>
          <w:rFonts w:ascii="Bookman Old Style" w:hAnsi="Bookman Old Style"/>
          <w:sz w:val="24"/>
          <w:szCs w:val="24"/>
        </w:rPr>
        <w:t>tica coerenti con la programmazione triennale.</w:t>
      </w:r>
    </w:p>
    <w:p w:rsidR="003A46BF" w:rsidRPr="003A46BF" w:rsidRDefault="00D21669" w:rsidP="005C59DF">
      <w:pPr>
        <w:jc w:val="both"/>
        <w:rPr>
          <w:rFonts w:ascii="Bookman Old Style" w:hAnsi="Bookman Old Style"/>
          <w:sz w:val="24"/>
          <w:szCs w:val="24"/>
        </w:rPr>
      </w:pPr>
      <w:r w:rsidRPr="003A46BF">
        <w:rPr>
          <w:rFonts w:ascii="Bookman Old Style" w:hAnsi="Bookman Old Style"/>
          <w:sz w:val="24"/>
          <w:szCs w:val="24"/>
        </w:rPr>
        <w:t>Tali risorse sono previste dall’art. 25 comma 1 del DL 50/2017</w:t>
      </w:r>
      <w:r w:rsidR="000B31A6">
        <w:rPr>
          <w:rFonts w:ascii="Bookman Old Style" w:hAnsi="Bookman Old Style"/>
          <w:sz w:val="24"/>
          <w:szCs w:val="24"/>
        </w:rPr>
        <w:t xml:space="preserve">, </w:t>
      </w:r>
      <w:r w:rsidRPr="003A46BF">
        <w:rPr>
          <w:rFonts w:ascii="Bookman Old Style" w:hAnsi="Bookman Old Style"/>
          <w:sz w:val="24"/>
          <w:szCs w:val="24"/>
        </w:rPr>
        <w:t>che stabilisce che una quota del Fondo di cui all’art. 1, comma 140, della legge 232/2016, è attribuita dal MIUR a Province e Città metropolitane</w:t>
      </w:r>
      <w:r w:rsidR="000B31A6">
        <w:rPr>
          <w:rFonts w:ascii="Bookman Old Style" w:hAnsi="Bookman Old Style"/>
          <w:sz w:val="24"/>
          <w:szCs w:val="24"/>
        </w:rPr>
        <w:t xml:space="preserve">, </w:t>
      </w:r>
      <w:r w:rsidR="00746FB3">
        <w:rPr>
          <w:rFonts w:ascii="Bookman Old Style" w:hAnsi="Bookman Old Style"/>
          <w:sz w:val="24"/>
          <w:szCs w:val="24"/>
        </w:rPr>
        <w:t>e sono</w:t>
      </w:r>
      <w:r w:rsidRPr="003A46BF">
        <w:rPr>
          <w:rFonts w:ascii="Bookman Old Style" w:hAnsi="Bookman Old Style"/>
          <w:sz w:val="24"/>
          <w:szCs w:val="24"/>
        </w:rPr>
        <w:t xml:space="preserve"> così suddivis</w:t>
      </w:r>
      <w:r w:rsidR="00746FB3">
        <w:rPr>
          <w:rFonts w:ascii="Bookman Old Style" w:hAnsi="Bookman Old Style"/>
          <w:sz w:val="24"/>
          <w:szCs w:val="24"/>
        </w:rPr>
        <w:t>e</w:t>
      </w:r>
      <w:r w:rsidRPr="003A46BF">
        <w:rPr>
          <w:rFonts w:ascii="Bookman Old Style" w:hAnsi="Bookman Old Style"/>
          <w:sz w:val="24"/>
          <w:szCs w:val="24"/>
        </w:rPr>
        <w:t>: 64 milioni per il 2017, 118 per il 2018, 80 milioni per il 2019 e 44,1 per il 2020. L’articolo 25</w:t>
      </w:r>
      <w:r w:rsidR="00DF542A">
        <w:rPr>
          <w:rFonts w:ascii="Bookman Old Style" w:hAnsi="Bookman Old Style"/>
          <w:sz w:val="24"/>
          <w:szCs w:val="24"/>
        </w:rPr>
        <w:t>, comma 2</w:t>
      </w:r>
      <w:r w:rsidRPr="003A46BF">
        <w:rPr>
          <w:rFonts w:ascii="Bookman Old Style" w:hAnsi="Bookman Old Style"/>
          <w:sz w:val="24"/>
          <w:szCs w:val="24"/>
        </w:rPr>
        <w:t>-bis</w:t>
      </w:r>
      <w:r w:rsidR="00DF542A">
        <w:rPr>
          <w:rFonts w:ascii="Bookman Old Style" w:hAnsi="Bookman Old Style"/>
          <w:sz w:val="24"/>
          <w:szCs w:val="24"/>
        </w:rPr>
        <w:t>,</w:t>
      </w:r>
      <w:r w:rsidRPr="003A46BF">
        <w:rPr>
          <w:rFonts w:ascii="Bookman Old Style" w:hAnsi="Bookman Old Style"/>
          <w:sz w:val="24"/>
          <w:szCs w:val="24"/>
        </w:rPr>
        <w:t xml:space="preserve"> del medesimo decreto</w:t>
      </w:r>
      <w:r w:rsidR="00DF542A">
        <w:rPr>
          <w:rFonts w:ascii="Bookman Old Style" w:hAnsi="Bookman Old Style"/>
          <w:sz w:val="24"/>
          <w:szCs w:val="24"/>
        </w:rPr>
        <w:t>,</w:t>
      </w:r>
      <w:r w:rsidRPr="003A46BF">
        <w:rPr>
          <w:rFonts w:ascii="Bookman Old Style" w:hAnsi="Bookman Old Style"/>
          <w:sz w:val="24"/>
          <w:szCs w:val="24"/>
        </w:rPr>
        <w:t xml:space="preserve"> </w:t>
      </w:r>
      <w:r w:rsidR="003A46BF" w:rsidRPr="003A46BF">
        <w:rPr>
          <w:rFonts w:ascii="Bookman Old Style" w:hAnsi="Bookman Old Style"/>
          <w:sz w:val="24"/>
          <w:szCs w:val="24"/>
        </w:rPr>
        <w:t>ha incrementato la quota del 2017 di ulteriori 15 milioni, per cui la dotazione complessiva per l’anno 2017 ammonta a 79 milioni.</w:t>
      </w:r>
    </w:p>
    <w:p w:rsidR="00BC6831" w:rsidRDefault="00BC6831" w:rsidP="005C59DF">
      <w:pPr>
        <w:jc w:val="both"/>
        <w:rPr>
          <w:rFonts w:ascii="Bookman Old Style" w:hAnsi="Bookman Old Style"/>
          <w:sz w:val="24"/>
          <w:szCs w:val="24"/>
        </w:rPr>
      </w:pPr>
      <w:r w:rsidRPr="003A46BF">
        <w:rPr>
          <w:rFonts w:ascii="Bookman Old Style" w:hAnsi="Bookman Old Style"/>
          <w:sz w:val="24"/>
          <w:szCs w:val="24"/>
        </w:rPr>
        <w:t xml:space="preserve">La programmazione </w:t>
      </w:r>
      <w:r w:rsidR="00746FB3">
        <w:rPr>
          <w:rFonts w:ascii="Bookman Old Style" w:hAnsi="Bookman Old Style"/>
          <w:sz w:val="24"/>
          <w:szCs w:val="24"/>
        </w:rPr>
        <w:t xml:space="preserve">triennale </w:t>
      </w:r>
      <w:r w:rsidRPr="003A46BF">
        <w:rPr>
          <w:rFonts w:ascii="Bookman Old Style" w:hAnsi="Bookman Old Style"/>
          <w:sz w:val="24"/>
          <w:szCs w:val="24"/>
        </w:rPr>
        <w:t xml:space="preserve">2015/2017, come risulta dal DM 29/05/2015 n. 322, prevede la realizzazione di </w:t>
      </w:r>
      <w:r w:rsidR="00DF542A">
        <w:rPr>
          <w:rFonts w:ascii="Bookman Old Style" w:hAnsi="Bookman Old Style"/>
          <w:sz w:val="24"/>
          <w:szCs w:val="24"/>
        </w:rPr>
        <w:t xml:space="preserve">una molteplicità di </w:t>
      </w:r>
      <w:r w:rsidRPr="003A46BF">
        <w:rPr>
          <w:rFonts w:ascii="Bookman Old Style" w:hAnsi="Bookman Old Style"/>
          <w:sz w:val="24"/>
          <w:szCs w:val="24"/>
        </w:rPr>
        <w:t xml:space="preserve">interventi </w:t>
      </w:r>
      <w:r w:rsidR="00DF542A">
        <w:rPr>
          <w:rFonts w:ascii="Bookman Old Style" w:hAnsi="Bookman Old Style"/>
          <w:sz w:val="24"/>
          <w:szCs w:val="24"/>
        </w:rPr>
        <w:t>con diverse finalità, dalla</w:t>
      </w:r>
      <w:r w:rsidRPr="003A46BF">
        <w:rPr>
          <w:rFonts w:ascii="Bookman Old Style" w:hAnsi="Bookman Old Style"/>
          <w:sz w:val="24"/>
          <w:szCs w:val="24"/>
        </w:rPr>
        <w:t xml:space="preserve"> “ristrutturazione, miglioramento, messa in sicurezza, adeguamento sismic</w:t>
      </w:r>
      <w:r w:rsidR="00DF542A">
        <w:rPr>
          <w:rFonts w:ascii="Bookman Old Style" w:hAnsi="Bookman Old Style"/>
          <w:sz w:val="24"/>
          <w:szCs w:val="24"/>
        </w:rPr>
        <w:t>o, efficientamento energetico” fino al</w:t>
      </w:r>
      <w:r w:rsidRPr="003A46BF">
        <w:rPr>
          <w:rFonts w:ascii="Bookman Old Style" w:hAnsi="Bookman Old Style"/>
          <w:sz w:val="24"/>
          <w:szCs w:val="24"/>
        </w:rPr>
        <w:t>la “costruzione di nuovi edifici scolastici pubblici e la realizzazione di palestre scolastiche”.</w:t>
      </w:r>
    </w:p>
    <w:p w:rsidR="007F2780" w:rsidRDefault="000B31A6" w:rsidP="005C59DF">
      <w:pPr>
        <w:jc w:val="both"/>
        <w:rPr>
          <w:rFonts w:ascii="Bookman Old Style" w:hAnsi="Bookman Old Style"/>
          <w:sz w:val="24"/>
          <w:szCs w:val="24"/>
        </w:rPr>
      </w:pPr>
      <w:r>
        <w:rPr>
          <w:rFonts w:ascii="Bookman Old Style" w:hAnsi="Bookman Old Style"/>
          <w:sz w:val="24"/>
          <w:szCs w:val="24"/>
        </w:rPr>
        <w:t xml:space="preserve">Si rileva inoltre che </w:t>
      </w:r>
      <w:r w:rsidR="00DF542A">
        <w:rPr>
          <w:rFonts w:ascii="Bookman Old Style" w:hAnsi="Bookman Old Style"/>
          <w:sz w:val="24"/>
          <w:szCs w:val="24"/>
        </w:rPr>
        <w:t xml:space="preserve">anche </w:t>
      </w:r>
      <w:r>
        <w:rPr>
          <w:rFonts w:ascii="Bookman Old Style" w:hAnsi="Bookman Old Style"/>
          <w:sz w:val="24"/>
          <w:szCs w:val="24"/>
        </w:rPr>
        <w:t>i</w:t>
      </w:r>
      <w:r w:rsidR="007F2780">
        <w:rPr>
          <w:rFonts w:ascii="Bookman Old Style" w:hAnsi="Bookman Old Style"/>
          <w:sz w:val="24"/>
          <w:szCs w:val="24"/>
        </w:rPr>
        <w:t xml:space="preserve">l fondo di cui all’art.1, comma 140 della legge 232/2016 è destinato al finanziamento degli investimenti in vari settori di spesa, </w:t>
      </w:r>
      <w:r>
        <w:rPr>
          <w:rFonts w:ascii="Bookman Old Style" w:hAnsi="Bookman Old Style"/>
          <w:sz w:val="24"/>
          <w:szCs w:val="24"/>
        </w:rPr>
        <w:t>non solo alla “prevenzione del rischio sismico” di cui alla lettera h), ma anche all’</w:t>
      </w:r>
      <w:r w:rsidR="007F2780">
        <w:rPr>
          <w:rFonts w:ascii="Bookman Old Style" w:hAnsi="Bookman Old Style"/>
          <w:sz w:val="24"/>
          <w:szCs w:val="24"/>
        </w:rPr>
        <w:t xml:space="preserve">“edilizia pubblica, compresa quella scolastica” </w:t>
      </w:r>
      <w:r>
        <w:rPr>
          <w:rFonts w:ascii="Bookman Old Style" w:hAnsi="Bookman Old Style"/>
          <w:sz w:val="24"/>
          <w:szCs w:val="24"/>
        </w:rPr>
        <w:t>di cui alla lettera e).</w:t>
      </w:r>
    </w:p>
    <w:p w:rsidR="00ED0076" w:rsidRDefault="007F2780" w:rsidP="00ED0076">
      <w:pPr>
        <w:spacing w:after="0"/>
        <w:jc w:val="both"/>
        <w:rPr>
          <w:rFonts w:ascii="Bookman Old Style" w:hAnsi="Bookman Old Style"/>
          <w:sz w:val="24"/>
          <w:szCs w:val="24"/>
        </w:rPr>
      </w:pPr>
      <w:r>
        <w:rPr>
          <w:rFonts w:ascii="Bookman Old Style" w:hAnsi="Bookman Old Style"/>
          <w:sz w:val="24"/>
          <w:szCs w:val="24"/>
        </w:rPr>
        <w:t xml:space="preserve">In premessa </w:t>
      </w:r>
      <w:r w:rsidR="00D034E0">
        <w:rPr>
          <w:rFonts w:ascii="Bookman Old Style" w:hAnsi="Bookman Old Style"/>
          <w:sz w:val="24"/>
          <w:szCs w:val="24"/>
        </w:rPr>
        <w:t>però</w:t>
      </w:r>
      <w:r>
        <w:rPr>
          <w:rFonts w:ascii="Bookman Old Style" w:hAnsi="Bookman Old Style"/>
          <w:sz w:val="24"/>
          <w:szCs w:val="24"/>
        </w:rPr>
        <w:t xml:space="preserve"> il MIUR </w:t>
      </w:r>
      <w:r w:rsidR="00DF542A">
        <w:rPr>
          <w:rFonts w:ascii="Bookman Old Style" w:hAnsi="Bookman Old Style"/>
          <w:sz w:val="24"/>
          <w:szCs w:val="24"/>
        </w:rPr>
        <w:t>richiama</w:t>
      </w:r>
      <w:r>
        <w:rPr>
          <w:rFonts w:ascii="Bookman Old Style" w:hAnsi="Bookman Old Style"/>
          <w:sz w:val="24"/>
          <w:szCs w:val="24"/>
        </w:rPr>
        <w:t xml:space="preserve"> </w:t>
      </w:r>
      <w:r w:rsidR="00DF542A">
        <w:rPr>
          <w:rFonts w:ascii="Bookman Old Style" w:hAnsi="Bookman Old Style"/>
          <w:sz w:val="24"/>
          <w:szCs w:val="24"/>
        </w:rPr>
        <w:t xml:space="preserve">genericamente </w:t>
      </w:r>
      <w:r>
        <w:rPr>
          <w:rFonts w:ascii="Bookman Old Style" w:hAnsi="Bookman Old Style"/>
          <w:sz w:val="24"/>
          <w:szCs w:val="24"/>
        </w:rPr>
        <w:t xml:space="preserve">i criteri </w:t>
      </w:r>
      <w:r w:rsidR="00DF542A">
        <w:rPr>
          <w:rFonts w:ascii="Bookman Old Style" w:hAnsi="Bookman Old Style"/>
          <w:sz w:val="24"/>
          <w:szCs w:val="24"/>
        </w:rPr>
        <w:t>utilizzati per il riparto</w:t>
      </w:r>
      <w:r>
        <w:rPr>
          <w:rFonts w:ascii="Bookman Old Style" w:hAnsi="Bookman Old Style"/>
          <w:sz w:val="24"/>
          <w:szCs w:val="24"/>
        </w:rPr>
        <w:t xml:space="preserve"> delle risorse in oggetto, contenuti nel decreto ministeriale del 23 gennaio 2015, relativo alla prog</w:t>
      </w:r>
      <w:r w:rsidR="00ED0076">
        <w:rPr>
          <w:rFonts w:ascii="Bookman Old Style" w:hAnsi="Bookman Old Style"/>
          <w:sz w:val="24"/>
          <w:szCs w:val="24"/>
        </w:rPr>
        <w:t xml:space="preserve">rammazione triennale 2015-2017 </w:t>
      </w:r>
      <w:r w:rsidR="00DF542A">
        <w:rPr>
          <w:rFonts w:ascii="Bookman Old Style" w:hAnsi="Bookman Old Style"/>
          <w:sz w:val="24"/>
          <w:szCs w:val="24"/>
        </w:rPr>
        <w:t xml:space="preserve">a cui si aggiunge il criterio del </w:t>
      </w:r>
      <w:r w:rsidR="00ED0076">
        <w:rPr>
          <w:rFonts w:ascii="Bookman Old Style" w:hAnsi="Bookman Old Style"/>
          <w:sz w:val="24"/>
          <w:szCs w:val="24"/>
        </w:rPr>
        <w:t>rischio sismico.</w:t>
      </w:r>
    </w:p>
    <w:p w:rsidR="00D034E0" w:rsidRPr="00D034E0" w:rsidRDefault="000B31A6" w:rsidP="00D034E0">
      <w:pPr>
        <w:spacing w:before="240" w:after="120"/>
        <w:jc w:val="both"/>
        <w:rPr>
          <w:rFonts w:ascii="Bookman Old Style" w:hAnsi="Bookman Old Style"/>
          <w:b/>
          <w:sz w:val="24"/>
          <w:szCs w:val="24"/>
        </w:rPr>
      </w:pPr>
      <w:r w:rsidRPr="00D034E0">
        <w:rPr>
          <w:rFonts w:ascii="Bookman Old Style" w:hAnsi="Bookman Old Style"/>
          <w:b/>
          <w:sz w:val="24"/>
          <w:szCs w:val="24"/>
        </w:rPr>
        <w:t xml:space="preserve">Al riguardo sarebbe a nostro avviso opportuno </w:t>
      </w:r>
      <w:r w:rsidR="00D034E0" w:rsidRPr="00D034E0">
        <w:rPr>
          <w:rFonts w:ascii="Bookman Old Style" w:hAnsi="Bookman Old Style"/>
          <w:b/>
          <w:sz w:val="24"/>
          <w:szCs w:val="24"/>
        </w:rPr>
        <w:t>esplicitare chiaramente i criteri di riparto e il loro relativo peso percentuale.</w:t>
      </w:r>
    </w:p>
    <w:p w:rsidR="00BC6831" w:rsidRPr="003A46BF" w:rsidRDefault="00BC6831" w:rsidP="005C59DF">
      <w:pPr>
        <w:jc w:val="both"/>
        <w:rPr>
          <w:rFonts w:ascii="Bookman Old Style" w:hAnsi="Bookman Old Style"/>
          <w:sz w:val="24"/>
          <w:szCs w:val="24"/>
        </w:rPr>
      </w:pPr>
      <w:r w:rsidRPr="003A46BF">
        <w:rPr>
          <w:rFonts w:ascii="Bookman Old Style" w:hAnsi="Bookman Old Style"/>
          <w:sz w:val="24"/>
          <w:szCs w:val="24"/>
        </w:rPr>
        <w:t xml:space="preserve">E’ evidente </w:t>
      </w:r>
      <w:r w:rsidR="00D034E0">
        <w:rPr>
          <w:rFonts w:ascii="Bookman Old Style" w:hAnsi="Bookman Old Style"/>
          <w:sz w:val="24"/>
          <w:szCs w:val="24"/>
        </w:rPr>
        <w:t>tuttavia</w:t>
      </w:r>
      <w:r w:rsidRPr="003A46BF">
        <w:rPr>
          <w:rFonts w:ascii="Bookman Old Style" w:hAnsi="Bookman Old Style"/>
          <w:sz w:val="24"/>
          <w:szCs w:val="24"/>
        </w:rPr>
        <w:t xml:space="preserve"> che molti degli interventi contenuti nella programmazione 2015/2017 non sono stati previsti in funzione dello specifico adeguamento sismico, prevedendo pertanto </w:t>
      </w:r>
      <w:r w:rsidR="000D3EB1" w:rsidRPr="003A46BF">
        <w:rPr>
          <w:rFonts w:ascii="Bookman Old Style" w:hAnsi="Bookman Old Style"/>
          <w:sz w:val="24"/>
          <w:szCs w:val="24"/>
        </w:rPr>
        <w:t>solo in alcuni</w:t>
      </w:r>
      <w:r w:rsidRPr="003A46BF">
        <w:rPr>
          <w:rFonts w:ascii="Bookman Old Style" w:hAnsi="Bookman Old Style"/>
          <w:sz w:val="24"/>
          <w:szCs w:val="24"/>
        </w:rPr>
        <w:t xml:space="preserve"> casi interventi di miglioramento sismico</w:t>
      </w:r>
      <w:r w:rsidR="000D3EB1" w:rsidRPr="003A46BF">
        <w:rPr>
          <w:rFonts w:ascii="Bookman Old Style" w:hAnsi="Bookman Old Style"/>
          <w:sz w:val="24"/>
          <w:szCs w:val="24"/>
        </w:rPr>
        <w:t>, e comunque</w:t>
      </w:r>
      <w:r w:rsidRPr="003A46BF">
        <w:rPr>
          <w:rFonts w:ascii="Bookman Old Style" w:hAnsi="Bookman Old Style"/>
          <w:sz w:val="24"/>
          <w:szCs w:val="24"/>
        </w:rPr>
        <w:t xml:space="preserve"> in combinazione con interventi di altra natura.</w:t>
      </w:r>
    </w:p>
    <w:p w:rsidR="00782C97" w:rsidRPr="00A74383" w:rsidRDefault="00885164" w:rsidP="00885164">
      <w:pPr>
        <w:jc w:val="both"/>
        <w:rPr>
          <w:rFonts w:ascii="Bookman Old Style" w:hAnsi="Bookman Old Style"/>
          <w:b/>
          <w:sz w:val="24"/>
          <w:szCs w:val="24"/>
        </w:rPr>
      </w:pPr>
      <w:r w:rsidRPr="00A74383">
        <w:rPr>
          <w:rFonts w:ascii="Bookman Old Style" w:hAnsi="Bookman Old Style"/>
          <w:b/>
          <w:sz w:val="24"/>
          <w:szCs w:val="24"/>
        </w:rPr>
        <w:t xml:space="preserve">Verosimilmente vi saranno anche regioni </w:t>
      </w:r>
      <w:r w:rsidR="00A74383" w:rsidRPr="00A74383">
        <w:rPr>
          <w:rFonts w:ascii="Bookman Old Style" w:hAnsi="Bookman Old Style"/>
          <w:b/>
          <w:sz w:val="24"/>
          <w:szCs w:val="24"/>
        </w:rPr>
        <w:t>in cui non sono stati presentati da parte di Province e Città Metropolitane</w:t>
      </w:r>
      <w:r w:rsidRPr="00A74383">
        <w:rPr>
          <w:rFonts w:ascii="Bookman Old Style" w:hAnsi="Bookman Old Style"/>
          <w:b/>
          <w:sz w:val="24"/>
          <w:szCs w:val="24"/>
        </w:rPr>
        <w:t xml:space="preserve"> tali richieste di intervento</w:t>
      </w:r>
      <w:r w:rsidR="00A74383" w:rsidRPr="00A74383">
        <w:rPr>
          <w:rFonts w:ascii="Bookman Old Style" w:hAnsi="Bookman Old Style"/>
          <w:b/>
          <w:sz w:val="24"/>
          <w:szCs w:val="24"/>
        </w:rPr>
        <w:t>,</w:t>
      </w:r>
      <w:r w:rsidRPr="00A74383">
        <w:rPr>
          <w:rFonts w:ascii="Bookman Old Style" w:hAnsi="Bookman Old Style"/>
          <w:b/>
          <w:sz w:val="24"/>
          <w:szCs w:val="24"/>
        </w:rPr>
        <w:t xml:space="preserve"> con il rischio di una conseguente </w:t>
      </w:r>
      <w:r w:rsidR="00A74383" w:rsidRPr="00A74383">
        <w:rPr>
          <w:rFonts w:ascii="Bookman Old Style" w:hAnsi="Bookman Old Style"/>
          <w:b/>
          <w:sz w:val="24"/>
          <w:szCs w:val="24"/>
        </w:rPr>
        <w:t>esclusione di alcune Province dal riparto</w:t>
      </w:r>
      <w:r w:rsidRPr="00A74383">
        <w:rPr>
          <w:rFonts w:ascii="Bookman Old Style" w:hAnsi="Bookman Old Style"/>
          <w:b/>
          <w:sz w:val="24"/>
          <w:szCs w:val="24"/>
        </w:rPr>
        <w:t xml:space="preserve"> delle risorse sul territorio nazionale.</w:t>
      </w:r>
    </w:p>
    <w:p w:rsidR="00AF3E0D" w:rsidRDefault="00885164" w:rsidP="003066E6">
      <w:pPr>
        <w:jc w:val="both"/>
        <w:rPr>
          <w:rFonts w:ascii="Bookman Old Style" w:hAnsi="Bookman Old Style"/>
          <w:sz w:val="24"/>
          <w:szCs w:val="24"/>
        </w:rPr>
      </w:pPr>
      <w:r w:rsidRPr="003A46BF">
        <w:rPr>
          <w:rFonts w:ascii="Bookman Old Style" w:hAnsi="Bookman Old Style"/>
          <w:sz w:val="24"/>
          <w:szCs w:val="24"/>
        </w:rPr>
        <w:t xml:space="preserve">Allo stesso tempo </w:t>
      </w:r>
      <w:r w:rsidR="00AF3E0D">
        <w:rPr>
          <w:rFonts w:ascii="Bookman Old Style" w:hAnsi="Bookman Old Style"/>
          <w:sz w:val="24"/>
          <w:szCs w:val="24"/>
        </w:rPr>
        <w:t xml:space="preserve">il MIUR, pur considerando prioritari i criteri relativi all’antisismica, </w:t>
      </w:r>
      <w:r w:rsidR="009C293D">
        <w:rPr>
          <w:rFonts w:ascii="Bookman Old Style" w:hAnsi="Bookman Old Style"/>
          <w:sz w:val="24"/>
          <w:szCs w:val="24"/>
        </w:rPr>
        <w:t>lì</w:t>
      </w:r>
      <w:r w:rsidR="00AF3E0D">
        <w:rPr>
          <w:rFonts w:ascii="Bookman Old Style" w:hAnsi="Bookman Old Style"/>
          <w:sz w:val="24"/>
          <w:szCs w:val="24"/>
        </w:rPr>
        <w:t xml:space="preserve"> dove l’importo assegnato alla Regione non riesce a coprire tutti gli interventi, sembra voler distribuire le risorse residue per gli interventi resisi necessari a seguito delle indagini diagnostiche (solai e controsoffitti).</w:t>
      </w:r>
    </w:p>
    <w:p w:rsidR="003066E6" w:rsidRPr="003A46BF" w:rsidRDefault="00AF3E0D" w:rsidP="003066E6">
      <w:pPr>
        <w:jc w:val="both"/>
        <w:rPr>
          <w:rFonts w:ascii="Bookman Old Style" w:hAnsi="Bookman Old Style"/>
          <w:sz w:val="24"/>
          <w:szCs w:val="24"/>
        </w:rPr>
      </w:pPr>
      <w:r>
        <w:rPr>
          <w:rFonts w:ascii="Bookman Old Style" w:hAnsi="Bookman Old Style"/>
          <w:sz w:val="24"/>
          <w:szCs w:val="24"/>
        </w:rPr>
        <w:lastRenderedPageBreak/>
        <w:t>N</w:t>
      </w:r>
      <w:r w:rsidR="00885164" w:rsidRPr="003A46BF">
        <w:rPr>
          <w:rFonts w:ascii="Bookman Old Style" w:hAnsi="Bookman Old Style"/>
          <w:sz w:val="24"/>
          <w:szCs w:val="24"/>
        </w:rPr>
        <w:t xml:space="preserve">on è chiaro </w:t>
      </w:r>
      <w:r w:rsidR="00782C97" w:rsidRPr="003A46BF">
        <w:rPr>
          <w:rFonts w:ascii="Bookman Old Style" w:hAnsi="Bookman Old Style"/>
          <w:sz w:val="24"/>
          <w:szCs w:val="24"/>
        </w:rPr>
        <w:t>in che modo si integri</w:t>
      </w:r>
      <w:r w:rsidR="00346646" w:rsidRPr="003A46BF">
        <w:rPr>
          <w:rFonts w:ascii="Bookman Old Style" w:hAnsi="Bookman Old Style"/>
          <w:sz w:val="24"/>
          <w:szCs w:val="24"/>
        </w:rPr>
        <w:t xml:space="preserve">no i progetti selezionati </w:t>
      </w:r>
      <w:r w:rsidR="00885164" w:rsidRPr="003A46BF">
        <w:rPr>
          <w:rFonts w:ascii="Bookman Old Style" w:hAnsi="Bookman Old Style"/>
          <w:sz w:val="24"/>
          <w:szCs w:val="24"/>
        </w:rPr>
        <w:t xml:space="preserve">secondo i predetti criteri, </w:t>
      </w:r>
      <w:r w:rsidR="00346646" w:rsidRPr="003A46BF">
        <w:rPr>
          <w:rFonts w:ascii="Bookman Old Style" w:hAnsi="Bookman Old Style"/>
          <w:sz w:val="24"/>
          <w:szCs w:val="24"/>
        </w:rPr>
        <w:t xml:space="preserve">con quelli resi necessari a seguito delle “indagini diagnostiche” per i quali, tra l’altro, non sono nemmeno previste, allo stato attuale, delle graduatorie di </w:t>
      </w:r>
      <w:r w:rsidR="00331938" w:rsidRPr="003A46BF">
        <w:rPr>
          <w:rFonts w:ascii="Bookman Old Style" w:hAnsi="Bookman Old Style"/>
          <w:sz w:val="24"/>
          <w:szCs w:val="24"/>
        </w:rPr>
        <w:t>priorità.</w:t>
      </w:r>
      <w:r w:rsidR="003066E6" w:rsidRPr="003A46BF">
        <w:rPr>
          <w:rFonts w:ascii="Bookman Old Style" w:hAnsi="Bookman Old Style"/>
          <w:sz w:val="24"/>
          <w:szCs w:val="24"/>
        </w:rPr>
        <w:t xml:space="preserve"> Al riguardo si evidenzia inoltre come, per l’individuazione dei criteri di assegnazione delle risorse tra Province si fa</w:t>
      </w:r>
      <w:r w:rsidR="009C293D">
        <w:rPr>
          <w:rFonts w:ascii="Bookman Old Style" w:hAnsi="Bookman Old Style"/>
          <w:sz w:val="24"/>
          <w:szCs w:val="24"/>
        </w:rPr>
        <w:t>ccia</w:t>
      </w:r>
      <w:r w:rsidR="003066E6" w:rsidRPr="003A46BF">
        <w:rPr>
          <w:rFonts w:ascii="Bookman Old Style" w:hAnsi="Bookman Old Style"/>
          <w:sz w:val="24"/>
          <w:szCs w:val="24"/>
        </w:rPr>
        <w:t xml:space="preserve"> riferimento al DM 7/8/2015 n. 594, che contiene i criteri per la </w:t>
      </w:r>
      <w:r w:rsidR="003066E6" w:rsidRPr="003A46BF">
        <w:rPr>
          <w:rFonts w:ascii="Bookman Old Style" w:hAnsi="Bookman Old Style"/>
          <w:sz w:val="24"/>
          <w:szCs w:val="24"/>
          <w:u w:val="single"/>
        </w:rPr>
        <w:t>selezione automatica</w:t>
      </w:r>
      <w:r w:rsidR="003066E6" w:rsidRPr="003A46BF">
        <w:rPr>
          <w:rFonts w:ascii="Bookman Old Style" w:hAnsi="Bookman Old Style"/>
          <w:sz w:val="24"/>
          <w:szCs w:val="24"/>
        </w:rPr>
        <w:t xml:space="preserve"> delle istanze di finanziamento per l’esecuzione delle indagini sui solai e controsoffitti. Tali criteri sono relativi alla sola esecuzione delle indagini, non alla necessità di procedere o meno con interventi riparativi, necessità che può essere rilevata solo successivamente all’esecuzione delle indagini. </w:t>
      </w:r>
    </w:p>
    <w:p w:rsidR="003F5C50" w:rsidRPr="00F744F0" w:rsidRDefault="00AF3E0D" w:rsidP="00ED1EFD">
      <w:pPr>
        <w:spacing w:after="120" w:line="240" w:lineRule="auto"/>
        <w:jc w:val="both"/>
        <w:rPr>
          <w:rFonts w:ascii="Bookman Old Style" w:hAnsi="Bookman Old Style"/>
          <w:b/>
          <w:sz w:val="24"/>
          <w:szCs w:val="24"/>
        </w:rPr>
      </w:pPr>
      <w:r w:rsidRPr="00F744F0">
        <w:rPr>
          <w:rFonts w:ascii="Bookman Old Style" w:hAnsi="Bookman Old Style"/>
          <w:b/>
          <w:sz w:val="24"/>
          <w:szCs w:val="24"/>
        </w:rPr>
        <w:t xml:space="preserve">La chiave di </w:t>
      </w:r>
      <w:r w:rsidR="00782C97" w:rsidRPr="00F744F0">
        <w:rPr>
          <w:rFonts w:ascii="Bookman Old Style" w:hAnsi="Bookman Old Style"/>
          <w:b/>
          <w:sz w:val="24"/>
          <w:szCs w:val="24"/>
        </w:rPr>
        <w:t xml:space="preserve">lettura </w:t>
      </w:r>
      <w:r w:rsidR="008F79E0" w:rsidRPr="00F744F0">
        <w:rPr>
          <w:rFonts w:ascii="Bookman Old Style" w:hAnsi="Bookman Old Style"/>
          <w:b/>
          <w:sz w:val="24"/>
          <w:szCs w:val="24"/>
        </w:rPr>
        <w:t>sembra</w:t>
      </w:r>
      <w:r w:rsidR="00782C97" w:rsidRPr="00F744F0">
        <w:rPr>
          <w:rFonts w:ascii="Bookman Old Style" w:hAnsi="Bookman Old Style"/>
          <w:b/>
          <w:sz w:val="24"/>
          <w:szCs w:val="24"/>
        </w:rPr>
        <w:t xml:space="preserve"> essere </w:t>
      </w:r>
      <w:r w:rsidR="00482796" w:rsidRPr="00F744F0">
        <w:rPr>
          <w:rFonts w:ascii="Bookman Old Style" w:hAnsi="Bookman Old Style"/>
          <w:b/>
          <w:sz w:val="24"/>
          <w:szCs w:val="24"/>
        </w:rPr>
        <w:t>quella di considerare</w:t>
      </w:r>
      <w:r w:rsidR="00782C97" w:rsidRPr="00F744F0">
        <w:rPr>
          <w:rFonts w:ascii="Bookman Old Style" w:hAnsi="Bookman Old Style"/>
          <w:b/>
          <w:sz w:val="24"/>
          <w:szCs w:val="24"/>
        </w:rPr>
        <w:t xml:space="preserve"> prioritari i progetti contenuti nella programmazione triennale</w:t>
      </w:r>
      <w:r w:rsidR="00482796" w:rsidRPr="00F744F0">
        <w:rPr>
          <w:rFonts w:ascii="Bookman Old Style" w:hAnsi="Bookman Old Style"/>
          <w:b/>
          <w:sz w:val="24"/>
          <w:szCs w:val="24"/>
        </w:rPr>
        <w:t xml:space="preserve"> 2015/2017</w:t>
      </w:r>
      <w:r w:rsidR="00782C97" w:rsidRPr="00F744F0">
        <w:rPr>
          <w:rFonts w:ascii="Bookman Old Style" w:hAnsi="Bookman Old Style"/>
          <w:b/>
          <w:sz w:val="24"/>
          <w:szCs w:val="24"/>
        </w:rPr>
        <w:t>, con una compo</w:t>
      </w:r>
      <w:r w:rsidR="003066E6" w:rsidRPr="00F744F0">
        <w:rPr>
          <w:rFonts w:ascii="Bookman Old Style" w:hAnsi="Bookman Old Style"/>
          <w:b/>
          <w:sz w:val="24"/>
          <w:szCs w:val="24"/>
        </w:rPr>
        <w:t xml:space="preserve">nente relativa all’antisismica </w:t>
      </w:r>
      <w:r w:rsidR="00782C97" w:rsidRPr="00F744F0">
        <w:rPr>
          <w:rFonts w:ascii="Bookman Old Style" w:hAnsi="Bookman Old Style"/>
          <w:b/>
          <w:sz w:val="24"/>
          <w:szCs w:val="24"/>
        </w:rPr>
        <w:t xml:space="preserve">e solo in seconda battuta, se rimangono risorse residue, quelli relativi ai solai. </w:t>
      </w:r>
      <w:r w:rsidR="00885164" w:rsidRPr="00F744F0">
        <w:rPr>
          <w:rFonts w:ascii="Bookman Old Style" w:hAnsi="Bookman Old Style"/>
          <w:b/>
          <w:sz w:val="24"/>
          <w:szCs w:val="24"/>
        </w:rPr>
        <w:t xml:space="preserve">Bisogna tuttavia rilevare che in molti casi questi </w:t>
      </w:r>
      <w:r w:rsidR="00782C97" w:rsidRPr="00F744F0">
        <w:rPr>
          <w:rFonts w:ascii="Bookman Old Style" w:hAnsi="Bookman Old Style"/>
          <w:b/>
          <w:sz w:val="24"/>
          <w:szCs w:val="24"/>
        </w:rPr>
        <w:t>ultimi possono esser</w:t>
      </w:r>
      <w:r w:rsidR="00885164" w:rsidRPr="00F744F0">
        <w:rPr>
          <w:rFonts w:ascii="Bookman Old Style" w:hAnsi="Bookman Old Style"/>
          <w:b/>
          <w:sz w:val="24"/>
          <w:szCs w:val="24"/>
        </w:rPr>
        <w:t>e prioritari rispetto ai primi.</w:t>
      </w:r>
    </w:p>
    <w:p w:rsidR="003066E6" w:rsidRDefault="003066E6" w:rsidP="00414681">
      <w:pPr>
        <w:spacing w:before="240" w:after="120"/>
        <w:jc w:val="both"/>
        <w:rPr>
          <w:rFonts w:ascii="Bookman Old Style" w:hAnsi="Bookman Old Style"/>
          <w:b/>
          <w:sz w:val="24"/>
          <w:szCs w:val="24"/>
        </w:rPr>
      </w:pPr>
    </w:p>
    <w:p w:rsidR="00D034E0" w:rsidRDefault="00D034E0" w:rsidP="00414681">
      <w:pPr>
        <w:spacing w:before="240" w:after="120"/>
        <w:jc w:val="both"/>
        <w:rPr>
          <w:rFonts w:ascii="Bookman Old Style" w:hAnsi="Bookman Old Style"/>
          <w:b/>
          <w:sz w:val="24"/>
          <w:szCs w:val="24"/>
        </w:rPr>
      </w:pPr>
      <w:r>
        <w:rPr>
          <w:rFonts w:ascii="Bookman Old Style" w:hAnsi="Bookman Old Style"/>
          <w:b/>
          <w:sz w:val="24"/>
          <w:szCs w:val="24"/>
        </w:rPr>
        <w:t>SEGNALAZIONE DI REFUSI IN PREMESSA</w:t>
      </w:r>
    </w:p>
    <w:p w:rsidR="00D034E0" w:rsidRDefault="00D034E0" w:rsidP="00414681">
      <w:pPr>
        <w:spacing w:before="240" w:after="120"/>
        <w:jc w:val="both"/>
        <w:rPr>
          <w:rFonts w:ascii="Bookman Old Style" w:hAnsi="Bookman Old Style"/>
          <w:sz w:val="24"/>
          <w:szCs w:val="24"/>
        </w:rPr>
      </w:pPr>
      <w:r>
        <w:rPr>
          <w:rFonts w:ascii="Bookman Old Style" w:hAnsi="Bookman Old Style"/>
          <w:sz w:val="24"/>
          <w:szCs w:val="24"/>
        </w:rPr>
        <w:t xml:space="preserve">Prima </w:t>
      </w:r>
      <w:r w:rsidR="00CB54F0">
        <w:rPr>
          <w:rFonts w:ascii="Bookman Old Style" w:hAnsi="Bookman Old Style"/>
          <w:sz w:val="24"/>
          <w:szCs w:val="24"/>
        </w:rPr>
        <w:t>procedere ad</w:t>
      </w:r>
      <w:r>
        <w:rPr>
          <w:rFonts w:ascii="Bookman Old Style" w:hAnsi="Bookman Old Style"/>
          <w:sz w:val="24"/>
          <w:szCs w:val="24"/>
        </w:rPr>
        <w:t xml:space="preserve"> esaminare in dettaglio l’articolato si segnalano due refusi tra le premesse del decreto:</w:t>
      </w:r>
    </w:p>
    <w:p w:rsidR="00D034E0" w:rsidRDefault="00D034E0" w:rsidP="00D034E0">
      <w:pPr>
        <w:pStyle w:val="Paragrafoelenco"/>
        <w:numPr>
          <w:ilvl w:val="0"/>
          <w:numId w:val="3"/>
        </w:numPr>
        <w:spacing w:before="240" w:after="120"/>
        <w:jc w:val="both"/>
        <w:rPr>
          <w:rFonts w:ascii="Bookman Old Style" w:hAnsi="Bookman Old Style"/>
          <w:sz w:val="24"/>
          <w:szCs w:val="24"/>
        </w:rPr>
      </w:pPr>
      <w:r>
        <w:rPr>
          <w:rFonts w:ascii="Bookman Old Style" w:hAnsi="Bookman Old Style"/>
          <w:sz w:val="24"/>
          <w:szCs w:val="24"/>
        </w:rPr>
        <w:t>Al quinto capoverso di pagina due ci si riferisce alle annualità “2017,2017, 2019, 2020” è evidente che va indicato “2017, 2018, 2019, 2020”;</w:t>
      </w:r>
    </w:p>
    <w:p w:rsidR="00D034E0" w:rsidRPr="00D034E0" w:rsidRDefault="00D034E0" w:rsidP="00D034E0">
      <w:pPr>
        <w:pStyle w:val="Paragrafoelenco"/>
        <w:numPr>
          <w:ilvl w:val="0"/>
          <w:numId w:val="3"/>
        </w:numPr>
        <w:spacing w:before="240" w:after="120"/>
        <w:jc w:val="both"/>
        <w:rPr>
          <w:rFonts w:ascii="Bookman Old Style" w:hAnsi="Bookman Old Style"/>
          <w:sz w:val="24"/>
          <w:szCs w:val="24"/>
        </w:rPr>
      </w:pPr>
      <w:r>
        <w:rPr>
          <w:rFonts w:ascii="Bookman Old Style" w:hAnsi="Bookman Old Style"/>
          <w:sz w:val="24"/>
          <w:szCs w:val="24"/>
        </w:rPr>
        <w:t>Al terz’ultimo capoverso di pagina due si cita la somma complessiva “di cui all’art. 25-bis”, andrebbe corretto con il riferimento “all’art. 25”.</w:t>
      </w:r>
    </w:p>
    <w:p w:rsidR="003066E6" w:rsidRPr="00ED1EFD" w:rsidRDefault="003066E6" w:rsidP="00ED1EFD">
      <w:pPr>
        <w:spacing w:before="240" w:after="0"/>
        <w:jc w:val="both"/>
        <w:rPr>
          <w:rFonts w:ascii="Bookman Old Style" w:hAnsi="Bookman Old Style"/>
          <w:b/>
          <w:i/>
          <w:sz w:val="24"/>
          <w:szCs w:val="24"/>
        </w:rPr>
      </w:pPr>
      <w:r w:rsidRPr="00ED1EFD">
        <w:rPr>
          <w:rFonts w:ascii="Bookman Old Style" w:hAnsi="Bookman Old Style"/>
          <w:b/>
          <w:i/>
          <w:sz w:val="24"/>
          <w:szCs w:val="24"/>
        </w:rPr>
        <w:t>ARTICOLATO</w:t>
      </w:r>
    </w:p>
    <w:p w:rsidR="000B31A6" w:rsidRDefault="000B31A6" w:rsidP="00414681">
      <w:pPr>
        <w:spacing w:before="240" w:after="120"/>
        <w:jc w:val="both"/>
        <w:rPr>
          <w:rFonts w:ascii="Bookman Old Style" w:hAnsi="Bookman Old Style"/>
          <w:b/>
          <w:sz w:val="24"/>
          <w:szCs w:val="24"/>
        </w:rPr>
      </w:pPr>
      <w:r>
        <w:rPr>
          <w:rFonts w:ascii="Bookman Old Style" w:hAnsi="Bookman Old Style"/>
          <w:b/>
          <w:sz w:val="24"/>
          <w:szCs w:val="24"/>
        </w:rPr>
        <w:t>Articolo 1</w:t>
      </w:r>
    </w:p>
    <w:p w:rsidR="000B31A6" w:rsidRDefault="000B31A6" w:rsidP="00414681">
      <w:pPr>
        <w:spacing w:before="240" w:after="120"/>
        <w:jc w:val="both"/>
        <w:rPr>
          <w:rFonts w:ascii="Bookman Old Style" w:hAnsi="Bookman Old Style"/>
          <w:sz w:val="24"/>
          <w:szCs w:val="24"/>
        </w:rPr>
      </w:pPr>
      <w:r>
        <w:rPr>
          <w:rFonts w:ascii="Bookman Old Style" w:hAnsi="Bookman Old Style"/>
          <w:sz w:val="24"/>
          <w:szCs w:val="24"/>
        </w:rPr>
        <w:t>A</w:t>
      </w:r>
      <w:r w:rsidR="00D034E0">
        <w:rPr>
          <w:rFonts w:ascii="Bookman Old Style" w:hAnsi="Bookman Old Style"/>
          <w:sz w:val="24"/>
          <w:szCs w:val="24"/>
        </w:rPr>
        <w:t>l comma 1 a</w:t>
      </w:r>
      <w:r>
        <w:rPr>
          <w:rFonts w:ascii="Bookman Old Style" w:hAnsi="Bookman Old Style"/>
          <w:sz w:val="24"/>
          <w:szCs w:val="24"/>
        </w:rPr>
        <w:t xml:space="preserve"> nostro avviso sarebbe opportuno </w:t>
      </w:r>
      <w:bookmarkStart w:id="1" w:name="_Hlk489279153"/>
      <w:r>
        <w:rPr>
          <w:rFonts w:ascii="Bookman Old Style" w:hAnsi="Bookman Old Style"/>
          <w:sz w:val="24"/>
          <w:szCs w:val="24"/>
        </w:rPr>
        <w:t>esplicitare chiaramente i criteri di riparto</w:t>
      </w:r>
      <w:r w:rsidR="00D034E0">
        <w:rPr>
          <w:rFonts w:ascii="Bookman Old Style" w:hAnsi="Bookman Old Style"/>
          <w:sz w:val="24"/>
          <w:szCs w:val="24"/>
        </w:rPr>
        <w:t xml:space="preserve"> tra Regioni </w:t>
      </w:r>
      <w:r>
        <w:rPr>
          <w:rFonts w:ascii="Bookman Old Style" w:hAnsi="Bookman Old Style"/>
          <w:sz w:val="24"/>
          <w:szCs w:val="24"/>
        </w:rPr>
        <w:t>e il loro relativo peso percentuale.</w:t>
      </w:r>
    </w:p>
    <w:bookmarkEnd w:id="1"/>
    <w:p w:rsidR="003E6DFD" w:rsidRDefault="003E6DFD" w:rsidP="00ED1EFD">
      <w:pPr>
        <w:spacing w:before="240" w:after="0"/>
        <w:jc w:val="both"/>
        <w:rPr>
          <w:rFonts w:ascii="Bookman Old Style" w:hAnsi="Bookman Old Style"/>
          <w:sz w:val="24"/>
          <w:szCs w:val="24"/>
        </w:rPr>
      </w:pPr>
      <w:r w:rsidRPr="003E6DFD">
        <w:rPr>
          <w:rFonts w:ascii="Bookman Old Style" w:hAnsi="Bookman Old Style"/>
          <w:b/>
          <w:sz w:val="24"/>
          <w:szCs w:val="24"/>
        </w:rPr>
        <w:t>Rispetto invece agli elenchi allegati di cui al comma 2 si evidenzia che</w:t>
      </w:r>
      <w:r>
        <w:rPr>
          <w:rFonts w:ascii="Bookman Old Style" w:hAnsi="Bookman Old Style"/>
          <w:sz w:val="24"/>
          <w:szCs w:val="24"/>
        </w:rPr>
        <w:t>:</w:t>
      </w:r>
    </w:p>
    <w:p w:rsidR="003E6DFD" w:rsidRDefault="003E6DFD" w:rsidP="003E6DFD">
      <w:pPr>
        <w:pStyle w:val="Paragrafoelenco"/>
        <w:numPr>
          <w:ilvl w:val="0"/>
          <w:numId w:val="2"/>
        </w:numPr>
        <w:spacing w:before="240" w:after="120"/>
        <w:jc w:val="both"/>
        <w:rPr>
          <w:rFonts w:ascii="Bookman Old Style" w:hAnsi="Bookman Old Style"/>
          <w:sz w:val="24"/>
          <w:szCs w:val="24"/>
        </w:rPr>
      </w:pPr>
      <w:r>
        <w:rPr>
          <w:rFonts w:ascii="Bookman Old Style" w:hAnsi="Bookman Old Style"/>
          <w:sz w:val="24"/>
          <w:szCs w:val="24"/>
        </w:rPr>
        <w:t xml:space="preserve">Tra il finanziamento approvato di 321.100.000,00 e i progetti effettivamente finanziati vi è uno scarto di circa </w:t>
      </w:r>
      <w:r w:rsidR="00CB54F0">
        <w:rPr>
          <w:rFonts w:ascii="Bookman Old Style" w:hAnsi="Bookman Old Style"/>
          <w:sz w:val="24"/>
          <w:szCs w:val="24"/>
        </w:rPr>
        <w:t>2.686.133</w:t>
      </w:r>
      <w:r>
        <w:rPr>
          <w:rFonts w:ascii="Bookman Old Style" w:hAnsi="Bookman Old Style"/>
          <w:sz w:val="24"/>
          <w:szCs w:val="24"/>
        </w:rPr>
        <w:t>.000,00 euro;</w:t>
      </w:r>
    </w:p>
    <w:p w:rsidR="003E6DFD" w:rsidRDefault="003E6DFD" w:rsidP="003E6DFD">
      <w:pPr>
        <w:pStyle w:val="Paragrafoelenco"/>
        <w:numPr>
          <w:ilvl w:val="0"/>
          <w:numId w:val="2"/>
        </w:numPr>
        <w:spacing w:before="240" w:after="120"/>
        <w:jc w:val="both"/>
        <w:rPr>
          <w:rFonts w:ascii="Bookman Old Style" w:hAnsi="Bookman Old Style"/>
          <w:sz w:val="24"/>
          <w:szCs w:val="24"/>
        </w:rPr>
      </w:pPr>
      <w:r>
        <w:rPr>
          <w:rFonts w:ascii="Bookman Old Style" w:hAnsi="Bookman Old Style"/>
          <w:sz w:val="24"/>
          <w:szCs w:val="24"/>
        </w:rPr>
        <w:t>Vi sono 17 Province e 5 Città Metropolitane che non ricevono finanziamento;</w:t>
      </w:r>
    </w:p>
    <w:p w:rsidR="003E6DFD" w:rsidRPr="003E6DFD" w:rsidRDefault="003E6DFD" w:rsidP="003E6DFD">
      <w:pPr>
        <w:pStyle w:val="Paragrafoelenco"/>
        <w:numPr>
          <w:ilvl w:val="0"/>
          <w:numId w:val="2"/>
        </w:numPr>
        <w:spacing w:before="240" w:after="120"/>
        <w:jc w:val="both"/>
        <w:rPr>
          <w:rFonts w:ascii="Bookman Old Style" w:hAnsi="Bookman Old Style"/>
          <w:sz w:val="24"/>
          <w:szCs w:val="24"/>
        </w:rPr>
      </w:pPr>
      <w:r>
        <w:rPr>
          <w:rFonts w:ascii="Bookman Old Style" w:hAnsi="Bookman Old Style"/>
          <w:sz w:val="24"/>
          <w:szCs w:val="24"/>
        </w:rPr>
        <w:t>Vi sono progetti in attesa di finanziamento sui quali bisognerebbe chiarire meglio il possibile esito.</w:t>
      </w:r>
    </w:p>
    <w:p w:rsidR="003F5C50" w:rsidRPr="003A46BF" w:rsidRDefault="003F5C50" w:rsidP="00414681">
      <w:pPr>
        <w:spacing w:before="240" w:after="120"/>
        <w:jc w:val="both"/>
        <w:rPr>
          <w:rFonts w:ascii="Bookman Old Style" w:hAnsi="Bookman Old Style"/>
          <w:b/>
          <w:i/>
          <w:sz w:val="24"/>
          <w:szCs w:val="24"/>
        </w:rPr>
      </w:pPr>
      <w:r w:rsidRPr="003A46BF">
        <w:rPr>
          <w:rFonts w:ascii="Bookman Old Style" w:hAnsi="Bookman Old Style"/>
          <w:b/>
          <w:sz w:val="24"/>
          <w:szCs w:val="24"/>
        </w:rPr>
        <w:t xml:space="preserve">Art. 2 – </w:t>
      </w:r>
      <w:r w:rsidR="00A40AB7" w:rsidRPr="003A46BF">
        <w:rPr>
          <w:rFonts w:ascii="Bookman Old Style" w:hAnsi="Bookman Old Style"/>
          <w:b/>
          <w:i/>
          <w:sz w:val="24"/>
          <w:szCs w:val="24"/>
        </w:rPr>
        <w:t xml:space="preserve">Problema dei </w:t>
      </w:r>
      <w:r w:rsidRPr="003A46BF">
        <w:rPr>
          <w:rFonts w:ascii="Bookman Old Style" w:hAnsi="Bookman Old Style"/>
          <w:b/>
          <w:i/>
          <w:sz w:val="24"/>
          <w:szCs w:val="24"/>
        </w:rPr>
        <w:t>Tempi per progettazione e affidamento</w:t>
      </w:r>
    </w:p>
    <w:p w:rsidR="000B31A6" w:rsidRDefault="003F5C50" w:rsidP="00414681">
      <w:pPr>
        <w:spacing w:before="120" w:after="0"/>
        <w:jc w:val="both"/>
        <w:rPr>
          <w:rFonts w:ascii="Bookman Old Style" w:hAnsi="Bookman Old Style"/>
          <w:sz w:val="24"/>
          <w:szCs w:val="24"/>
        </w:rPr>
      </w:pPr>
      <w:r w:rsidRPr="003A46BF">
        <w:rPr>
          <w:rFonts w:ascii="Bookman Old Style" w:hAnsi="Bookman Old Style"/>
          <w:sz w:val="24"/>
          <w:szCs w:val="24"/>
        </w:rPr>
        <w:t xml:space="preserve">Si prevedono 12 mesi a partire dalla pubblicazione del decreto per la progettazione esecutiva e l’aggiudicazione. </w:t>
      </w:r>
    </w:p>
    <w:p w:rsidR="000B31A6" w:rsidRDefault="00251BDB" w:rsidP="000B31A6">
      <w:pPr>
        <w:spacing w:before="120" w:after="0"/>
        <w:jc w:val="both"/>
        <w:rPr>
          <w:rFonts w:ascii="Bookman Old Style" w:hAnsi="Bookman Old Style"/>
          <w:sz w:val="24"/>
          <w:szCs w:val="24"/>
        </w:rPr>
      </w:pPr>
      <w:r>
        <w:rPr>
          <w:rFonts w:ascii="Bookman Old Style" w:hAnsi="Bookman Old Style"/>
          <w:sz w:val="24"/>
          <w:szCs w:val="24"/>
        </w:rPr>
        <w:lastRenderedPageBreak/>
        <w:t xml:space="preserve">Sarebbe </w:t>
      </w:r>
      <w:r w:rsidR="000B31A6" w:rsidRPr="003A46BF">
        <w:rPr>
          <w:rFonts w:ascii="Bookman Old Style" w:hAnsi="Bookman Old Style"/>
          <w:sz w:val="24"/>
          <w:szCs w:val="24"/>
        </w:rPr>
        <w:t xml:space="preserve">opportuno chiarire </w:t>
      </w:r>
      <w:r w:rsidR="000B31A6">
        <w:rPr>
          <w:rFonts w:ascii="Bookman Old Style" w:hAnsi="Bookman Old Style"/>
          <w:sz w:val="24"/>
          <w:szCs w:val="24"/>
        </w:rPr>
        <w:t>preliminarmente se le Province e le Città Metropolitane sono tenute ad approvare le progettazioni esecutive e ad effettuare l’aggiudicazione d</w:t>
      </w:r>
      <w:r>
        <w:rPr>
          <w:rFonts w:ascii="Bookman Old Style" w:hAnsi="Bookman Old Style"/>
          <w:sz w:val="24"/>
          <w:szCs w:val="24"/>
        </w:rPr>
        <w:t>i tutti gli</w:t>
      </w:r>
      <w:r w:rsidR="000B31A6">
        <w:rPr>
          <w:rFonts w:ascii="Bookman Old Style" w:hAnsi="Bookman Old Style"/>
          <w:sz w:val="24"/>
          <w:szCs w:val="24"/>
        </w:rPr>
        <w:t xml:space="preserve"> interventi </w:t>
      </w:r>
      <w:r>
        <w:rPr>
          <w:rFonts w:ascii="Bookman Old Style" w:hAnsi="Bookman Old Style"/>
          <w:sz w:val="24"/>
          <w:szCs w:val="24"/>
        </w:rPr>
        <w:t xml:space="preserve">finanziati </w:t>
      </w:r>
      <w:r w:rsidR="000B31A6">
        <w:rPr>
          <w:rFonts w:ascii="Bookman Old Style" w:hAnsi="Bookman Old Style"/>
          <w:sz w:val="24"/>
          <w:szCs w:val="24"/>
        </w:rPr>
        <w:t>entro 12 mesi dalla pubblicazione del decreto.</w:t>
      </w:r>
    </w:p>
    <w:p w:rsidR="003F5C50" w:rsidRPr="003A46BF" w:rsidRDefault="00251BDB" w:rsidP="00414681">
      <w:pPr>
        <w:spacing w:before="120" w:after="0"/>
        <w:jc w:val="both"/>
        <w:rPr>
          <w:rFonts w:ascii="Bookman Old Style" w:hAnsi="Bookman Old Style"/>
          <w:sz w:val="24"/>
          <w:szCs w:val="24"/>
        </w:rPr>
      </w:pPr>
      <w:r>
        <w:rPr>
          <w:rFonts w:ascii="Bookman Old Style" w:hAnsi="Bookman Old Style"/>
          <w:sz w:val="24"/>
          <w:szCs w:val="24"/>
        </w:rPr>
        <w:t>Allo stesso tempo si rileva che t</w:t>
      </w:r>
      <w:r w:rsidR="003F5C50" w:rsidRPr="003A46BF">
        <w:rPr>
          <w:rFonts w:ascii="Bookman Old Style" w:hAnsi="Bookman Old Style"/>
          <w:sz w:val="24"/>
          <w:szCs w:val="24"/>
        </w:rPr>
        <w:t xml:space="preserve">ale termine </w:t>
      </w:r>
      <w:r w:rsidR="001D719B">
        <w:rPr>
          <w:rFonts w:ascii="Bookman Old Style" w:hAnsi="Bookman Old Style"/>
          <w:sz w:val="24"/>
          <w:szCs w:val="24"/>
        </w:rPr>
        <w:t>rischia di essere</w:t>
      </w:r>
      <w:r w:rsidR="003F5C50" w:rsidRPr="003A46BF">
        <w:rPr>
          <w:rFonts w:ascii="Bookman Old Style" w:hAnsi="Bookman Old Style"/>
          <w:sz w:val="24"/>
          <w:szCs w:val="24"/>
        </w:rPr>
        <w:t xml:space="preserve"> insufficiente, in particolare per gli interventi di adeguamento strutturale, sismico e antincendio, e per tutti gli interventi di nuova costruzione o ampliamento, a maggior ragione nei casi nei quali sia stata sviluppata la sola progettazione preliminare (o di fattibilità).</w:t>
      </w:r>
    </w:p>
    <w:p w:rsidR="003F5C50" w:rsidRPr="003A46BF" w:rsidRDefault="003F5C50" w:rsidP="00414681">
      <w:pPr>
        <w:spacing w:before="120" w:after="0"/>
        <w:jc w:val="both"/>
        <w:rPr>
          <w:rFonts w:ascii="Bookman Old Style" w:hAnsi="Bookman Old Style"/>
          <w:sz w:val="24"/>
          <w:szCs w:val="24"/>
        </w:rPr>
      </w:pPr>
      <w:r w:rsidRPr="003A46BF">
        <w:rPr>
          <w:rFonts w:ascii="Bookman Old Style" w:hAnsi="Bookman Old Style"/>
          <w:sz w:val="24"/>
          <w:szCs w:val="24"/>
        </w:rPr>
        <w:t>Si propone pertanto di portare il termine 18 mesi</w:t>
      </w:r>
      <w:r w:rsidR="001D719B">
        <w:rPr>
          <w:rFonts w:ascii="Bookman Old Style" w:hAnsi="Bookman Old Style"/>
          <w:sz w:val="24"/>
          <w:szCs w:val="24"/>
        </w:rPr>
        <w:t xml:space="preserve">, lasciando la previsione di </w:t>
      </w:r>
      <w:r w:rsidRPr="003A46BF">
        <w:rPr>
          <w:rFonts w:ascii="Bookman Old Style" w:hAnsi="Bookman Old Style"/>
          <w:sz w:val="24"/>
          <w:szCs w:val="24"/>
        </w:rPr>
        <w:t>12 mesi, ad esempio per gli interventi di manutenzione straordinaria di solai e controsoffitti che non comportino problematiche di carattere strutturale.</w:t>
      </w:r>
    </w:p>
    <w:p w:rsidR="003F5C50" w:rsidRPr="003A46BF" w:rsidRDefault="003F5C50" w:rsidP="00414681">
      <w:pPr>
        <w:spacing w:before="120" w:after="0"/>
        <w:jc w:val="both"/>
        <w:rPr>
          <w:rFonts w:ascii="Bookman Old Style" w:hAnsi="Bookman Old Style"/>
          <w:sz w:val="24"/>
          <w:szCs w:val="24"/>
        </w:rPr>
      </w:pPr>
      <w:r w:rsidRPr="003A46BF">
        <w:rPr>
          <w:rFonts w:ascii="Bookman Old Style" w:hAnsi="Bookman Old Style"/>
          <w:sz w:val="24"/>
          <w:szCs w:val="24"/>
        </w:rPr>
        <w:t>La formulazione dell’articolo 2, per la parte interessata, potrebbe essere: ”…entro e non oltre 18 mesi per gli interventi di adeguamento strutturale, sismico, impiantistico e di prevenzione incendi, nonché per gli interventi di nuova costruzione e ampliamento, e di 12 mesi per gli altri interventi, dalla pubblicazione del presente decreto...”.</w:t>
      </w:r>
    </w:p>
    <w:p w:rsidR="000B45B7" w:rsidRDefault="000B45B7" w:rsidP="00414681">
      <w:pPr>
        <w:spacing w:before="120" w:after="0"/>
        <w:jc w:val="both"/>
        <w:rPr>
          <w:rFonts w:ascii="Bookman Old Style" w:hAnsi="Bookman Old Style"/>
          <w:b/>
          <w:sz w:val="24"/>
          <w:szCs w:val="24"/>
        </w:rPr>
      </w:pPr>
      <w:r w:rsidRPr="000B45B7">
        <w:rPr>
          <w:rFonts w:ascii="Bookman Old Style" w:hAnsi="Bookman Old Style"/>
          <w:b/>
          <w:sz w:val="24"/>
          <w:szCs w:val="24"/>
        </w:rPr>
        <w:t>Art. 3</w:t>
      </w:r>
      <w:r>
        <w:rPr>
          <w:rFonts w:ascii="Bookman Old Style" w:hAnsi="Bookman Old Style"/>
          <w:b/>
          <w:sz w:val="24"/>
          <w:szCs w:val="24"/>
        </w:rPr>
        <w:t xml:space="preserve"> </w:t>
      </w:r>
    </w:p>
    <w:p w:rsidR="000B45B7" w:rsidRDefault="000B45B7" w:rsidP="00ED1EFD">
      <w:pPr>
        <w:spacing w:after="0"/>
        <w:jc w:val="both"/>
        <w:rPr>
          <w:rFonts w:ascii="Bookman Old Style" w:hAnsi="Bookman Old Style"/>
          <w:i/>
          <w:iCs/>
          <w:sz w:val="24"/>
          <w:szCs w:val="24"/>
        </w:rPr>
      </w:pPr>
      <w:r>
        <w:rPr>
          <w:rFonts w:ascii="Bookman Old Style" w:hAnsi="Bookman Old Style"/>
          <w:i/>
          <w:iCs/>
          <w:sz w:val="24"/>
          <w:szCs w:val="24"/>
        </w:rPr>
        <w:t>Per quanto riguarda le modalità di rendicontazione e monitoraggio di cui all’articolo 3 si rilevano le seguenti criticità.</w:t>
      </w:r>
    </w:p>
    <w:p w:rsidR="000B45B7" w:rsidRDefault="000B45B7" w:rsidP="000B45B7">
      <w:pPr>
        <w:spacing w:before="120" w:after="0"/>
        <w:jc w:val="both"/>
        <w:rPr>
          <w:rFonts w:ascii="Bookman Old Style" w:hAnsi="Bookman Old Style"/>
          <w:b/>
          <w:sz w:val="24"/>
          <w:szCs w:val="24"/>
        </w:rPr>
      </w:pPr>
      <w:r>
        <w:rPr>
          <w:rFonts w:ascii="Bookman Old Style" w:hAnsi="Bookman Old Style"/>
          <w:b/>
          <w:sz w:val="24"/>
          <w:szCs w:val="24"/>
        </w:rPr>
        <w:t>Comma 1, lett. a) problema dell’acconto del 20%</w:t>
      </w:r>
    </w:p>
    <w:p w:rsidR="000B45B7" w:rsidRPr="001703B2" w:rsidRDefault="000B45B7" w:rsidP="000B45B7">
      <w:pPr>
        <w:spacing w:before="120" w:after="0"/>
        <w:jc w:val="both"/>
        <w:rPr>
          <w:rFonts w:ascii="Bookman Old Style" w:hAnsi="Bookman Old Style"/>
          <w:iCs/>
          <w:sz w:val="24"/>
          <w:szCs w:val="24"/>
        </w:rPr>
      </w:pPr>
      <w:r w:rsidRPr="001703B2">
        <w:rPr>
          <w:rFonts w:ascii="Bookman Old Style" w:hAnsi="Bookman Old Style"/>
          <w:iCs/>
          <w:sz w:val="24"/>
          <w:szCs w:val="24"/>
        </w:rPr>
        <w:t>Si prevede l’erogazione del 20% dell'importo alle Province alla registrazione del decreto da parte degli organi di controllo.</w:t>
      </w:r>
    </w:p>
    <w:p w:rsidR="00C5619A" w:rsidRDefault="008C3B45" w:rsidP="000B45B7">
      <w:pPr>
        <w:spacing w:before="120" w:after="0"/>
        <w:jc w:val="both"/>
        <w:rPr>
          <w:rFonts w:ascii="Bookman Old Style" w:hAnsi="Bookman Old Style"/>
          <w:iCs/>
          <w:sz w:val="24"/>
          <w:szCs w:val="24"/>
        </w:rPr>
      </w:pPr>
      <w:r>
        <w:rPr>
          <w:rFonts w:ascii="Bookman Old Style" w:hAnsi="Bookman Old Style"/>
          <w:iCs/>
          <w:sz w:val="24"/>
          <w:szCs w:val="24"/>
        </w:rPr>
        <w:t>Presumibilmente</w:t>
      </w:r>
      <w:r w:rsidR="00EE6B90">
        <w:rPr>
          <w:rFonts w:ascii="Bookman Old Style" w:hAnsi="Bookman Old Style"/>
          <w:iCs/>
          <w:sz w:val="24"/>
          <w:szCs w:val="24"/>
        </w:rPr>
        <w:t xml:space="preserve">, a fronte anche del necessario controllo e registrazione </w:t>
      </w:r>
      <w:r>
        <w:rPr>
          <w:rFonts w:ascii="Bookman Old Style" w:hAnsi="Bookman Old Style"/>
          <w:iCs/>
          <w:sz w:val="24"/>
          <w:szCs w:val="24"/>
        </w:rPr>
        <w:t xml:space="preserve">del decreto </w:t>
      </w:r>
      <w:r w:rsidR="00EE6B90">
        <w:rPr>
          <w:rFonts w:ascii="Bookman Old Style" w:hAnsi="Bookman Old Style"/>
          <w:iCs/>
          <w:sz w:val="24"/>
          <w:szCs w:val="24"/>
        </w:rPr>
        <w:t xml:space="preserve">da parte della Corte dei Conti, </w:t>
      </w:r>
      <w:r>
        <w:rPr>
          <w:rFonts w:ascii="Bookman Old Style" w:hAnsi="Bookman Old Style"/>
          <w:iCs/>
          <w:sz w:val="24"/>
          <w:szCs w:val="24"/>
        </w:rPr>
        <w:t xml:space="preserve">le Province potranno introitare tale importo non prima del mese di ottobre. </w:t>
      </w:r>
    </w:p>
    <w:p w:rsidR="00984FD0" w:rsidRPr="00ED1EFD" w:rsidRDefault="000B45B7" w:rsidP="000B45B7">
      <w:pPr>
        <w:spacing w:before="120" w:after="0"/>
        <w:jc w:val="both"/>
        <w:rPr>
          <w:rFonts w:ascii="Bookman Old Style" w:hAnsi="Bookman Old Style"/>
          <w:iCs/>
          <w:sz w:val="24"/>
          <w:szCs w:val="24"/>
          <w:u w:val="single"/>
        </w:rPr>
      </w:pPr>
      <w:r w:rsidRPr="001703B2">
        <w:rPr>
          <w:rFonts w:ascii="Bookman Old Style" w:hAnsi="Bookman Old Style"/>
          <w:iCs/>
          <w:sz w:val="24"/>
          <w:szCs w:val="24"/>
        </w:rPr>
        <w:t>Le Province, tenute al rispetto del pareggio di bilancio</w:t>
      </w:r>
      <w:r w:rsidR="00984FD0" w:rsidRPr="001703B2">
        <w:rPr>
          <w:rFonts w:ascii="Bookman Old Style" w:hAnsi="Bookman Old Style"/>
          <w:iCs/>
          <w:sz w:val="24"/>
          <w:szCs w:val="24"/>
        </w:rPr>
        <w:t xml:space="preserve">, dovrebbero </w:t>
      </w:r>
      <w:r w:rsidR="00C5619A">
        <w:rPr>
          <w:rFonts w:ascii="Bookman Old Style" w:hAnsi="Bookman Old Style"/>
          <w:iCs/>
          <w:sz w:val="24"/>
          <w:szCs w:val="24"/>
        </w:rPr>
        <w:t xml:space="preserve">quindi bandire la gara </w:t>
      </w:r>
      <w:r w:rsidR="00984FD0" w:rsidRPr="001703B2">
        <w:rPr>
          <w:rFonts w:ascii="Bookman Old Style" w:hAnsi="Bookman Old Style"/>
          <w:iCs/>
          <w:sz w:val="24"/>
          <w:szCs w:val="24"/>
        </w:rPr>
        <w:t>entro la fine dell’anno</w:t>
      </w:r>
      <w:r w:rsidR="00ED1EFD">
        <w:rPr>
          <w:rFonts w:ascii="Bookman Old Style" w:hAnsi="Bookman Old Style"/>
          <w:iCs/>
          <w:sz w:val="24"/>
          <w:szCs w:val="24"/>
        </w:rPr>
        <w:t xml:space="preserve"> (per poter costituire il fondo pluriennale vincolato da utilizzare nell’anno successivo ai sensi del dlg.s118/2011)</w:t>
      </w:r>
      <w:r w:rsidR="00984FD0" w:rsidRPr="001703B2">
        <w:rPr>
          <w:rFonts w:ascii="Bookman Old Style" w:hAnsi="Bookman Old Style"/>
          <w:iCs/>
          <w:sz w:val="24"/>
          <w:szCs w:val="24"/>
        </w:rPr>
        <w:t xml:space="preserve">, altrimenti </w:t>
      </w:r>
      <w:r w:rsidRPr="001703B2">
        <w:rPr>
          <w:rFonts w:ascii="Bookman Old Style" w:hAnsi="Bookman Old Style"/>
          <w:iCs/>
          <w:sz w:val="24"/>
          <w:szCs w:val="24"/>
        </w:rPr>
        <w:t xml:space="preserve">i fondi andranno in avanzo vincolato </w:t>
      </w:r>
      <w:r w:rsidR="00C5619A">
        <w:rPr>
          <w:rFonts w:ascii="Bookman Old Style" w:hAnsi="Bookman Old Style"/>
          <w:iCs/>
          <w:sz w:val="24"/>
          <w:szCs w:val="24"/>
        </w:rPr>
        <w:t>creando problemi sul</w:t>
      </w:r>
      <w:r w:rsidR="00ED1EFD">
        <w:rPr>
          <w:rFonts w:ascii="Bookman Old Style" w:hAnsi="Bookman Old Style"/>
          <w:iCs/>
          <w:sz w:val="24"/>
          <w:szCs w:val="24"/>
        </w:rPr>
        <w:t xml:space="preserve"> rispetto del </w:t>
      </w:r>
      <w:r w:rsidR="00C5619A">
        <w:rPr>
          <w:rFonts w:ascii="Bookman Old Style" w:hAnsi="Bookman Old Style"/>
          <w:iCs/>
          <w:sz w:val="24"/>
          <w:szCs w:val="24"/>
        </w:rPr>
        <w:t>saldo di finanza pubblica</w:t>
      </w:r>
      <w:r w:rsidR="00ED1EFD">
        <w:rPr>
          <w:rFonts w:ascii="Bookman Old Style" w:hAnsi="Bookman Old Style"/>
          <w:iCs/>
          <w:sz w:val="24"/>
          <w:szCs w:val="24"/>
        </w:rPr>
        <w:t xml:space="preserve"> dell’anno successivo, quando le risorse dovranno essere impiegate e spese</w:t>
      </w:r>
      <w:r w:rsidR="00C5619A">
        <w:rPr>
          <w:rFonts w:ascii="Bookman Old Style" w:hAnsi="Bookman Old Style"/>
          <w:iCs/>
          <w:sz w:val="24"/>
          <w:szCs w:val="24"/>
        </w:rPr>
        <w:t>.</w:t>
      </w:r>
      <w:r w:rsidR="00ED1EFD">
        <w:rPr>
          <w:rFonts w:ascii="Bookman Old Style" w:hAnsi="Bookman Old Style"/>
          <w:iCs/>
          <w:sz w:val="24"/>
          <w:szCs w:val="24"/>
        </w:rPr>
        <w:t xml:space="preserve">   </w:t>
      </w:r>
      <w:r w:rsidR="00984FD0" w:rsidRPr="00ED1EFD">
        <w:rPr>
          <w:rFonts w:ascii="Bookman Old Style" w:hAnsi="Bookman Old Style"/>
          <w:iCs/>
          <w:sz w:val="24"/>
          <w:szCs w:val="24"/>
          <w:u w:val="single"/>
        </w:rPr>
        <w:t>Questo comporta una forte criticità per gli enti che difficilmente</w:t>
      </w:r>
      <w:r w:rsidR="00C5619A" w:rsidRPr="00ED1EFD">
        <w:rPr>
          <w:rFonts w:ascii="Bookman Old Style" w:hAnsi="Bookman Old Style"/>
          <w:iCs/>
          <w:sz w:val="24"/>
          <w:szCs w:val="24"/>
          <w:u w:val="single"/>
        </w:rPr>
        <w:t xml:space="preserve"> riusciranno a</w:t>
      </w:r>
      <w:r w:rsidR="00984FD0" w:rsidRPr="00ED1EFD">
        <w:rPr>
          <w:rFonts w:ascii="Bookman Old Style" w:hAnsi="Bookman Old Style"/>
          <w:iCs/>
          <w:sz w:val="24"/>
          <w:szCs w:val="24"/>
          <w:u w:val="single"/>
        </w:rPr>
        <w:t xml:space="preserve"> bandire una gara d’appalto in tempi </w:t>
      </w:r>
      <w:r w:rsidR="00ED1EFD" w:rsidRPr="00ED1EFD">
        <w:rPr>
          <w:rFonts w:ascii="Bookman Old Style" w:hAnsi="Bookman Old Style"/>
          <w:iCs/>
          <w:sz w:val="24"/>
          <w:szCs w:val="24"/>
          <w:u w:val="single"/>
        </w:rPr>
        <w:t>così</w:t>
      </w:r>
      <w:r w:rsidR="00984FD0" w:rsidRPr="00ED1EFD">
        <w:rPr>
          <w:rFonts w:ascii="Bookman Old Style" w:hAnsi="Bookman Old Style"/>
          <w:iCs/>
          <w:sz w:val="24"/>
          <w:szCs w:val="24"/>
          <w:u w:val="single"/>
        </w:rPr>
        <w:t xml:space="preserve"> limitati.</w:t>
      </w:r>
    </w:p>
    <w:p w:rsidR="000B45B7" w:rsidRPr="003A46BF" w:rsidRDefault="00984FD0" w:rsidP="00ED1EFD">
      <w:pPr>
        <w:spacing w:before="240" w:after="120" w:line="240" w:lineRule="auto"/>
        <w:jc w:val="both"/>
        <w:rPr>
          <w:rFonts w:ascii="Bookman Old Style" w:hAnsi="Bookman Old Style"/>
          <w:sz w:val="24"/>
          <w:szCs w:val="24"/>
        </w:rPr>
      </w:pPr>
      <w:r>
        <w:rPr>
          <w:rFonts w:ascii="Bookman Old Style" w:hAnsi="Bookman Old Style"/>
          <w:b/>
          <w:sz w:val="24"/>
          <w:szCs w:val="24"/>
        </w:rPr>
        <w:t>Comma</w:t>
      </w:r>
      <w:r w:rsidR="001703B2">
        <w:rPr>
          <w:rFonts w:ascii="Bookman Old Style" w:hAnsi="Bookman Old Style"/>
          <w:b/>
          <w:sz w:val="24"/>
          <w:szCs w:val="24"/>
        </w:rPr>
        <w:t xml:space="preserve"> </w:t>
      </w:r>
      <w:r>
        <w:rPr>
          <w:rFonts w:ascii="Bookman Old Style" w:hAnsi="Bookman Old Style"/>
          <w:b/>
          <w:sz w:val="24"/>
          <w:szCs w:val="24"/>
        </w:rPr>
        <w:t>4</w:t>
      </w:r>
      <w:r w:rsidR="003F5C50" w:rsidRPr="003A46BF">
        <w:rPr>
          <w:rFonts w:ascii="Bookman Old Style" w:hAnsi="Bookman Old Style"/>
          <w:b/>
          <w:sz w:val="24"/>
          <w:szCs w:val="24"/>
        </w:rPr>
        <w:t xml:space="preserve"> </w:t>
      </w:r>
      <w:r w:rsidR="003F5C50" w:rsidRPr="003A46BF">
        <w:rPr>
          <w:rFonts w:ascii="Bookman Old Style" w:hAnsi="Bookman Old Style"/>
          <w:b/>
          <w:i/>
          <w:sz w:val="24"/>
          <w:szCs w:val="24"/>
        </w:rPr>
        <w:t xml:space="preserve">– </w:t>
      </w:r>
      <w:r w:rsidR="00A40AB7" w:rsidRPr="003A46BF">
        <w:rPr>
          <w:rFonts w:ascii="Bookman Old Style" w:hAnsi="Bookman Old Style"/>
          <w:b/>
          <w:i/>
          <w:sz w:val="24"/>
          <w:szCs w:val="24"/>
        </w:rPr>
        <w:t>Problema della r</w:t>
      </w:r>
      <w:r w:rsidR="003F5C50" w:rsidRPr="003A46BF">
        <w:rPr>
          <w:rFonts w:ascii="Bookman Old Style" w:hAnsi="Bookman Old Style"/>
          <w:b/>
          <w:i/>
          <w:sz w:val="24"/>
          <w:szCs w:val="24"/>
        </w:rPr>
        <w:t>endicontazione entro il 31 marzo successivo all’</w:t>
      </w:r>
      <w:r w:rsidR="00A40AB7" w:rsidRPr="003A46BF">
        <w:rPr>
          <w:rFonts w:ascii="Bookman Old Style" w:hAnsi="Bookman Old Style"/>
          <w:b/>
          <w:i/>
          <w:sz w:val="24"/>
          <w:szCs w:val="24"/>
        </w:rPr>
        <w:t>”</w:t>
      </w:r>
      <w:r w:rsidR="003F5C50" w:rsidRPr="003A46BF">
        <w:rPr>
          <w:rFonts w:ascii="Bookman Old Style" w:hAnsi="Bookman Old Style"/>
          <w:b/>
          <w:i/>
          <w:sz w:val="24"/>
          <w:szCs w:val="24"/>
        </w:rPr>
        <w:t>anno di riferimento</w:t>
      </w:r>
      <w:r w:rsidR="00A40AB7" w:rsidRPr="003A46BF">
        <w:rPr>
          <w:rFonts w:ascii="Bookman Old Style" w:hAnsi="Bookman Old Style"/>
          <w:sz w:val="24"/>
          <w:szCs w:val="24"/>
        </w:rPr>
        <w:t>”</w:t>
      </w:r>
    </w:p>
    <w:p w:rsidR="003F5C50" w:rsidRDefault="00CC1FFE" w:rsidP="003F5C50">
      <w:pPr>
        <w:jc w:val="both"/>
        <w:rPr>
          <w:rFonts w:ascii="Bookman Old Style" w:hAnsi="Bookman Old Style"/>
          <w:sz w:val="24"/>
          <w:szCs w:val="24"/>
        </w:rPr>
      </w:pPr>
      <w:r>
        <w:rPr>
          <w:rFonts w:ascii="Bookman Old Style" w:hAnsi="Bookman Old Style"/>
          <w:sz w:val="24"/>
          <w:szCs w:val="24"/>
        </w:rPr>
        <w:t xml:space="preserve">Si prevede che le Province e le CM debbano certificare l’avvenuta realizzazione degli investimenti entro il 31 marzo successivo all’anno di riferimento. </w:t>
      </w:r>
      <w:r w:rsidR="003F5C50" w:rsidRPr="003A46BF">
        <w:rPr>
          <w:rFonts w:ascii="Bookman Old Style" w:hAnsi="Bookman Old Style"/>
          <w:sz w:val="24"/>
          <w:szCs w:val="24"/>
        </w:rPr>
        <w:t xml:space="preserve">Non è chiaro quale sia da considerare l’anno di riferimento. Se si trattasse dell’anno relativo al finanziamento risulterebbe impossibile rispettare tale termine, almeno per il 2017/2018. </w:t>
      </w:r>
      <w:r w:rsidR="00C5619A">
        <w:rPr>
          <w:rFonts w:ascii="Bookman Old Style" w:hAnsi="Bookman Old Style"/>
          <w:sz w:val="24"/>
          <w:szCs w:val="24"/>
        </w:rPr>
        <w:t xml:space="preserve">Tale comma infatti, pur richiamando la norma primaria prevista nell’art. 25 del DL 50/2017 pone problemi di coordinamento con le altre previsioni </w:t>
      </w:r>
      <w:r w:rsidR="009278C1">
        <w:rPr>
          <w:rFonts w:ascii="Bookman Old Style" w:hAnsi="Bookman Old Style"/>
          <w:sz w:val="24"/>
          <w:szCs w:val="24"/>
        </w:rPr>
        <w:t xml:space="preserve">del provvedimento, in particolare </w:t>
      </w:r>
      <w:r w:rsidR="003F5C50" w:rsidRPr="003A46BF">
        <w:rPr>
          <w:rFonts w:ascii="Bookman Old Style" w:hAnsi="Bookman Old Style"/>
          <w:sz w:val="24"/>
          <w:szCs w:val="24"/>
        </w:rPr>
        <w:t xml:space="preserve">con i termini per le progettazioni e affidamento </w:t>
      </w:r>
      <w:r w:rsidR="003F5C50" w:rsidRPr="003A46BF">
        <w:rPr>
          <w:rFonts w:ascii="Bookman Old Style" w:hAnsi="Bookman Old Style"/>
          <w:sz w:val="24"/>
          <w:szCs w:val="24"/>
        </w:rPr>
        <w:lastRenderedPageBreak/>
        <w:t>lavori di cui all’Art. 2. Infatti, anche ipotizzando la pubbli</w:t>
      </w:r>
      <w:r w:rsidR="001703B2">
        <w:rPr>
          <w:rFonts w:ascii="Bookman Old Style" w:hAnsi="Bookman Old Style"/>
          <w:sz w:val="24"/>
          <w:szCs w:val="24"/>
        </w:rPr>
        <w:t>cazione del decreto ad Agosto</w:t>
      </w:r>
      <w:r w:rsidR="000619D2">
        <w:rPr>
          <w:rFonts w:ascii="Bookman Old Style" w:hAnsi="Bookman Old Style"/>
          <w:sz w:val="24"/>
          <w:szCs w:val="24"/>
        </w:rPr>
        <w:t xml:space="preserve"> 2017</w:t>
      </w:r>
      <w:r w:rsidR="001703B2">
        <w:rPr>
          <w:rFonts w:ascii="Bookman Old Style" w:hAnsi="Bookman Old Style"/>
          <w:sz w:val="24"/>
          <w:szCs w:val="24"/>
        </w:rPr>
        <w:t xml:space="preserve">, il decreto prevede </w:t>
      </w:r>
      <w:r w:rsidR="003F5C50" w:rsidRPr="003A46BF">
        <w:rPr>
          <w:rFonts w:ascii="Bookman Old Style" w:hAnsi="Bookman Old Style"/>
          <w:sz w:val="24"/>
          <w:szCs w:val="24"/>
        </w:rPr>
        <w:t xml:space="preserve">12 mesi per affidare i lavori, quindi entro agosto 2018. </w:t>
      </w:r>
      <w:r w:rsidR="001703B2">
        <w:rPr>
          <w:rFonts w:ascii="Bookman Old Style" w:hAnsi="Bookman Old Style"/>
          <w:sz w:val="24"/>
          <w:szCs w:val="24"/>
        </w:rPr>
        <w:t>Risulta quindi impossibile certificare l’avvenuta realizzazione degli investimenti entro il 31 marzo 2018.</w:t>
      </w:r>
    </w:p>
    <w:p w:rsidR="00D31DA3" w:rsidRDefault="00D31DA3" w:rsidP="003F5C50">
      <w:pPr>
        <w:jc w:val="both"/>
      </w:pPr>
      <w:r>
        <w:rPr>
          <w:rFonts w:ascii="Bookman Old Style" w:hAnsi="Bookman Old Style"/>
          <w:sz w:val="24"/>
          <w:szCs w:val="24"/>
        </w:rPr>
        <w:t xml:space="preserve">Ogni intervento deve prevedere ai sensi del D.lgs. </w:t>
      </w:r>
      <w:r w:rsidR="005A0E6C">
        <w:rPr>
          <w:rFonts w:ascii="Bookman Old Style" w:hAnsi="Bookman Old Style"/>
          <w:sz w:val="24"/>
          <w:szCs w:val="24"/>
        </w:rPr>
        <w:t>50/2016 (codice dei contratti)</w:t>
      </w:r>
      <w:r>
        <w:rPr>
          <w:rFonts w:ascii="Bookman Old Style" w:hAnsi="Bookman Old Style"/>
          <w:sz w:val="24"/>
          <w:szCs w:val="24"/>
        </w:rPr>
        <w:t>, il relativo cronoprogramma che nel caso di interventi di rilevante valore economico e aventi contenuti di ristrutturazione edilizia si tradurrà in un periodo di tempo ultrannuale. In questo caso occorre stabilire che per anno di riferimento deve intendersi l’annualità prevista dal relativo cronoprogramma progettuale (progetto definitivo ed esecutivo). Un arco solo annuale non può essere rispettato da tutti i progetti di intervento. Esempio: se l’arco del cronoprogramma è 2017-2019 occorre rendicontare entro il 31 marzo di ogni anno 2018-201</w:t>
      </w:r>
      <w:r w:rsidR="005A0E6C">
        <w:rPr>
          <w:rFonts w:ascii="Bookman Old Style" w:hAnsi="Bookman Old Style"/>
          <w:sz w:val="24"/>
          <w:szCs w:val="24"/>
        </w:rPr>
        <w:t>9</w:t>
      </w:r>
      <w:r>
        <w:rPr>
          <w:rFonts w:ascii="Bookman Old Style" w:hAnsi="Bookman Old Style"/>
          <w:sz w:val="24"/>
          <w:szCs w:val="24"/>
        </w:rPr>
        <w:t xml:space="preserve">-2020 l’avvenuto rispetto del cronoprogramma progettuale e quindi l’attuazione degli interventi entro il 2019 nell’esempio con relativo collaudo delle opere. </w:t>
      </w:r>
    </w:p>
    <w:sectPr w:rsidR="00D31D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449" w:rsidRDefault="00B40449" w:rsidP="001858B8">
      <w:pPr>
        <w:spacing w:after="0" w:line="240" w:lineRule="auto"/>
      </w:pPr>
      <w:r>
        <w:separator/>
      </w:r>
    </w:p>
  </w:endnote>
  <w:endnote w:type="continuationSeparator" w:id="0">
    <w:p w:rsidR="00B40449" w:rsidRDefault="00B40449" w:rsidP="0018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449" w:rsidRDefault="00B40449" w:rsidP="001858B8">
      <w:pPr>
        <w:spacing w:after="0" w:line="240" w:lineRule="auto"/>
      </w:pPr>
      <w:r>
        <w:separator/>
      </w:r>
    </w:p>
  </w:footnote>
  <w:footnote w:type="continuationSeparator" w:id="0">
    <w:p w:rsidR="00B40449" w:rsidRDefault="00B40449" w:rsidP="0018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8F6"/>
    <w:multiLevelType w:val="hybridMultilevel"/>
    <w:tmpl w:val="F5C8923C"/>
    <w:lvl w:ilvl="0" w:tplc="9DB6F9CE">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647C99"/>
    <w:multiLevelType w:val="hybridMultilevel"/>
    <w:tmpl w:val="84F41790"/>
    <w:lvl w:ilvl="0" w:tplc="889666D6">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766975"/>
    <w:multiLevelType w:val="hybridMultilevel"/>
    <w:tmpl w:val="CEECBD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DF"/>
    <w:rsid w:val="000619D2"/>
    <w:rsid w:val="000B31A6"/>
    <w:rsid w:val="000B45B7"/>
    <w:rsid w:val="000D3EB1"/>
    <w:rsid w:val="0013093F"/>
    <w:rsid w:val="00167039"/>
    <w:rsid w:val="001703B2"/>
    <w:rsid w:val="001858B8"/>
    <w:rsid w:val="00186E37"/>
    <w:rsid w:val="001D719B"/>
    <w:rsid w:val="00251BDB"/>
    <w:rsid w:val="00251C52"/>
    <w:rsid w:val="00261F79"/>
    <w:rsid w:val="002B0C4C"/>
    <w:rsid w:val="003066E6"/>
    <w:rsid w:val="00322CF7"/>
    <w:rsid w:val="00331938"/>
    <w:rsid w:val="00346646"/>
    <w:rsid w:val="0038570B"/>
    <w:rsid w:val="003A46BF"/>
    <w:rsid w:val="003E6DFD"/>
    <w:rsid w:val="003F5C50"/>
    <w:rsid w:val="00404063"/>
    <w:rsid w:val="00414681"/>
    <w:rsid w:val="00482796"/>
    <w:rsid w:val="004F2B89"/>
    <w:rsid w:val="0050604E"/>
    <w:rsid w:val="00516E68"/>
    <w:rsid w:val="005A0E6C"/>
    <w:rsid w:val="005C59DF"/>
    <w:rsid w:val="005D1114"/>
    <w:rsid w:val="00620F47"/>
    <w:rsid w:val="00667F59"/>
    <w:rsid w:val="00686B9F"/>
    <w:rsid w:val="0071223F"/>
    <w:rsid w:val="00746FB3"/>
    <w:rsid w:val="00782C97"/>
    <w:rsid w:val="00796A20"/>
    <w:rsid w:val="007F2780"/>
    <w:rsid w:val="00863477"/>
    <w:rsid w:val="00885164"/>
    <w:rsid w:val="008C3B45"/>
    <w:rsid w:val="008F79E0"/>
    <w:rsid w:val="00901E40"/>
    <w:rsid w:val="009278C1"/>
    <w:rsid w:val="00984FD0"/>
    <w:rsid w:val="009C293D"/>
    <w:rsid w:val="00A40AB7"/>
    <w:rsid w:val="00A74383"/>
    <w:rsid w:val="00AA0213"/>
    <w:rsid w:val="00AD42EB"/>
    <w:rsid w:val="00AF3E0D"/>
    <w:rsid w:val="00B40449"/>
    <w:rsid w:val="00BC6831"/>
    <w:rsid w:val="00BE3571"/>
    <w:rsid w:val="00C33C1B"/>
    <w:rsid w:val="00C5619A"/>
    <w:rsid w:val="00CB54F0"/>
    <w:rsid w:val="00CC1FFE"/>
    <w:rsid w:val="00D034E0"/>
    <w:rsid w:val="00D21669"/>
    <w:rsid w:val="00D31DA3"/>
    <w:rsid w:val="00D36F9D"/>
    <w:rsid w:val="00DF542A"/>
    <w:rsid w:val="00EC0E60"/>
    <w:rsid w:val="00ED0076"/>
    <w:rsid w:val="00ED1EFD"/>
    <w:rsid w:val="00EE6B90"/>
    <w:rsid w:val="00F74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7F636-601B-4E5A-98EE-B936A79B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938"/>
    <w:pPr>
      <w:ind w:left="720"/>
      <w:contextualSpacing/>
    </w:pPr>
  </w:style>
  <w:style w:type="paragraph" w:styleId="Testofumetto">
    <w:name w:val="Balloon Text"/>
    <w:basedOn w:val="Normale"/>
    <w:link w:val="TestofumettoCarattere"/>
    <w:uiPriority w:val="99"/>
    <w:semiHidden/>
    <w:unhideWhenUsed/>
    <w:rsid w:val="005060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604E"/>
    <w:rPr>
      <w:rFonts w:ascii="Segoe UI" w:hAnsi="Segoe UI" w:cs="Segoe UI"/>
      <w:sz w:val="18"/>
      <w:szCs w:val="18"/>
    </w:rPr>
  </w:style>
  <w:style w:type="paragraph" w:styleId="Intestazione">
    <w:name w:val="header"/>
    <w:basedOn w:val="Normale"/>
    <w:link w:val="IntestazioneCarattere"/>
    <w:uiPriority w:val="99"/>
    <w:unhideWhenUsed/>
    <w:rsid w:val="001858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58B8"/>
  </w:style>
  <w:style w:type="paragraph" w:styleId="Pidipagina">
    <w:name w:val="footer"/>
    <w:basedOn w:val="Normale"/>
    <w:link w:val="PidipaginaCarattere"/>
    <w:uiPriority w:val="99"/>
    <w:unhideWhenUsed/>
    <w:rsid w:val="001858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3880-F30D-43C3-8956-61038550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Fabricatore</dc:creator>
  <cp:lastModifiedBy>Claudia Giovannini</cp:lastModifiedBy>
  <cp:revision>2</cp:revision>
  <cp:lastPrinted>2017-07-26T13:40:00Z</cp:lastPrinted>
  <dcterms:created xsi:type="dcterms:W3CDTF">2017-08-04T10:04:00Z</dcterms:created>
  <dcterms:modified xsi:type="dcterms:W3CDTF">2017-08-04T10:04:00Z</dcterms:modified>
</cp:coreProperties>
</file>